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pageBreakBefore/>
        <w:numPr>
          <w:ilvl w:val="0"/>
          <w:numId w:val="0"/>
        </w:numPr>
        <w:spacing w:beforeLines="0" w:after="156"/>
        <w:jc w:val="center"/>
        <w:rPr>
          <w:rFonts w:ascii="仿宋" w:hAnsi="仿宋" w:eastAsia="仿宋" w:cs="仿宋"/>
          <w:sz w:val="36"/>
          <w:szCs w:val="36"/>
          <w:highlight w:val="none"/>
        </w:rPr>
      </w:pPr>
      <w:r>
        <w:rPr>
          <w:rFonts w:hint="eastAsia" w:ascii="仿宋" w:hAnsi="仿宋" w:eastAsia="仿宋" w:cs="仿宋"/>
          <w:sz w:val="36"/>
          <w:szCs w:val="36"/>
          <w:highlight w:val="none"/>
        </w:rPr>
        <w:t xml:space="preserve"> </w:t>
      </w:r>
      <w:r>
        <w:rPr>
          <w:rFonts w:hint="eastAsia" w:ascii="仿宋" w:hAnsi="仿宋" w:eastAsia="仿宋" w:cs="仿宋"/>
          <w:sz w:val="36"/>
          <w:szCs w:val="36"/>
          <w:highlight w:val="none"/>
        </w:rPr>
        <w:t>衢州市国有资产经营有限公司2021年境外美元债券主承销服务（全球协调）采购项目采购内容及要求</w:t>
      </w:r>
    </w:p>
    <w:p>
      <w:pPr>
        <w:spacing w:after="0" w:line="360" w:lineRule="auto"/>
        <w:ind w:firstLine="480" w:firstLineChars="200"/>
        <w:rPr>
          <w:rFonts w:hint="eastAsia" w:ascii="仿宋" w:hAnsi="仿宋" w:eastAsia="仿宋" w:cs="仿宋"/>
          <w:bCs/>
          <w:sz w:val="24"/>
          <w:szCs w:val="24"/>
          <w:highlight w:val="none"/>
        </w:rPr>
      </w:pPr>
    </w:p>
    <w:p>
      <w:pPr>
        <w:spacing w:after="0" w:line="360" w:lineRule="auto"/>
        <w:ind w:firstLine="480" w:firstLineChars="200"/>
        <w:rPr>
          <w:rFonts w:ascii="仿宋" w:hAnsi="仿宋" w:eastAsia="仿宋" w:cs="仿宋"/>
          <w:bCs/>
          <w:sz w:val="24"/>
          <w:szCs w:val="24"/>
          <w:highlight w:val="none"/>
        </w:rPr>
      </w:pPr>
      <w:bookmarkStart w:id="0" w:name="_GoBack"/>
      <w:bookmarkEnd w:id="0"/>
      <w:r>
        <w:rPr>
          <w:rFonts w:hint="eastAsia" w:ascii="仿宋" w:hAnsi="仿宋" w:eastAsia="仿宋" w:cs="仿宋"/>
          <w:bCs/>
          <w:sz w:val="24"/>
          <w:szCs w:val="24"/>
          <w:highlight w:val="none"/>
        </w:rPr>
        <w:t>衢州市国有资产经营有限公司拟公开发行不超过</w:t>
      </w:r>
      <w:r>
        <w:rPr>
          <w:rFonts w:ascii="仿宋" w:hAnsi="仿宋" w:eastAsia="仿宋" w:cs="仿宋"/>
          <w:bCs/>
          <w:sz w:val="24"/>
          <w:szCs w:val="24"/>
          <w:highlight w:val="none"/>
        </w:rPr>
        <w:t>5</w:t>
      </w:r>
      <w:r>
        <w:rPr>
          <w:rFonts w:hint="eastAsia" w:ascii="仿宋" w:hAnsi="仿宋" w:eastAsia="仿宋" w:cs="仿宋"/>
          <w:bCs/>
          <w:sz w:val="24"/>
          <w:szCs w:val="24"/>
          <w:highlight w:val="none"/>
        </w:rPr>
        <w:t>亿元美元的境外债券（最终发行数量上限以国家发展和改革委员会的最终批复或备案的额度为准），债券期限为不超过</w:t>
      </w:r>
      <w:r>
        <w:rPr>
          <w:rFonts w:ascii="仿宋" w:hAnsi="仿宋" w:eastAsia="仿宋" w:cs="仿宋"/>
          <w:bCs/>
          <w:sz w:val="24"/>
          <w:szCs w:val="24"/>
          <w:highlight w:val="none"/>
        </w:rPr>
        <w:t>5</w:t>
      </w:r>
      <w:r>
        <w:rPr>
          <w:rFonts w:hint="eastAsia" w:ascii="仿宋" w:hAnsi="仿宋" w:eastAsia="仿宋" w:cs="仿宋"/>
          <w:bCs/>
          <w:sz w:val="24"/>
          <w:szCs w:val="24"/>
          <w:highlight w:val="none"/>
        </w:rPr>
        <w:t>年（具体根据项目情况协商确定）。主承销商（全球协调人），全面负责衢州市国有资产经营有限公司于</w:t>
      </w:r>
      <w:r>
        <w:rPr>
          <w:rFonts w:ascii="仿宋" w:hAnsi="仿宋" w:eastAsia="仿宋" w:cs="仿宋"/>
          <w:bCs/>
          <w:sz w:val="24"/>
          <w:szCs w:val="24"/>
          <w:highlight w:val="none"/>
        </w:rPr>
        <w:t>2021</w:t>
      </w:r>
      <w:r>
        <w:rPr>
          <w:rFonts w:hint="eastAsia" w:ascii="仿宋" w:hAnsi="仿宋" w:eastAsia="仿宋" w:cs="仿宋"/>
          <w:bCs/>
          <w:sz w:val="24"/>
          <w:szCs w:val="24"/>
          <w:highlight w:val="none"/>
        </w:rPr>
        <w:t>年启动的境外美元债券发行工作</w:t>
      </w:r>
      <w:r>
        <w:rPr>
          <w:rFonts w:ascii="仿宋" w:hAnsi="仿宋" w:eastAsia="仿宋" w:cs="仿宋"/>
          <w:bCs/>
          <w:sz w:val="24"/>
          <w:szCs w:val="24"/>
          <w:highlight w:val="none"/>
        </w:rPr>
        <w:t>,</w:t>
      </w:r>
      <w:r>
        <w:rPr>
          <w:rFonts w:hint="eastAsia" w:ascii="仿宋" w:hAnsi="仿宋" w:eastAsia="仿宋" w:cs="仿宋"/>
          <w:bCs/>
          <w:sz w:val="24"/>
          <w:szCs w:val="24"/>
          <w:highlight w:val="none"/>
        </w:rPr>
        <w:t>包括担任评级顾问、全球协调人、承销牵头行及簿记行所应承担的各项工作，并牵头组建债券承销团，确定承销团成员以及各成员的分工和费用分配并向发行人报备。</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5133286"/>
    <w:multiLevelType w:val="multilevel"/>
    <w:tmpl w:val="45133286"/>
    <w:lvl w:ilvl="0" w:tentative="0">
      <w:start w:val="1"/>
      <w:numFmt w:val="chineseCountingThousand"/>
      <w:pStyle w:val="5"/>
      <w:lvlText w:val="%1."/>
      <w:lvlJc w:val="left"/>
      <w:pPr>
        <w:ind w:left="0" w:firstLine="0"/>
      </w:pPr>
      <w:rPr>
        <w:rFonts w:hint="eastAsia" w:ascii="宋体" w:hAnsi="宋体" w:eastAsia="宋体"/>
        <w:b/>
        <w:i w:val="0"/>
        <w:sz w:val="32"/>
        <w:szCs w:val="21"/>
      </w:rPr>
    </w:lvl>
    <w:lvl w:ilvl="1" w:tentative="0">
      <w:start w:val="1"/>
      <w:numFmt w:val="decimal"/>
      <w:lvlText w:val="%2."/>
      <w:lvlJc w:val="left"/>
      <w:pPr>
        <w:ind w:left="0" w:firstLine="0"/>
      </w:pPr>
      <w:rPr>
        <w:rFonts w:hint="eastAsia"/>
      </w:rPr>
    </w:lvl>
    <w:lvl w:ilvl="2" w:tentative="0">
      <w:start w:val="1"/>
      <w:numFmt w:val="decimal"/>
      <w:lvlText w:val="%2.%3."/>
      <w:lvlJc w:val="left"/>
      <w:pPr>
        <w:ind w:left="0" w:firstLine="0"/>
      </w:pPr>
      <w:rPr>
        <w:rFonts w:hint="eastAsia"/>
      </w:rPr>
    </w:lvl>
    <w:lvl w:ilvl="3" w:tentative="0">
      <w:start w:val="1"/>
      <w:numFmt w:val="decimal"/>
      <w:lvlText w:val="%2.%3.%4."/>
      <w:lvlJc w:val="left"/>
      <w:pPr>
        <w:ind w:left="0" w:firstLine="0"/>
      </w:pPr>
      <w:rPr>
        <w:rFonts w:hint="eastAsia"/>
      </w:rPr>
    </w:lvl>
    <w:lvl w:ilvl="4" w:tentative="0">
      <w:start w:val="1"/>
      <w:numFmt w:val="decimal"/>
      <w:lvlText w:val="%2.%3.%4.%5."/>
      <w:lvlJc w:val="left"/>
      <w:pPr>
        <w:ind w:left="0" w:firstLine="0"/>
      </w:pPr>
      <w:rPr>
        <w:rFonts w:hint="eastAsia"/>
      </w:rPr>
    </w:lvl>
    <w:lvl w:ilvl="5" w:tentative="0">
      <w:start w:val="1"/>
      <w:numFmt w:val="decimal"/>
      <w:isLgl/>
      <w:lvlText w:val="%2.%3.%4.%5.%6."/>
      <w:lvlJc w:val="left"/>
      <w:pPr>
        <w:ind w:left="0" w:firstLine="0"/>
      </w:pPr>
      <w:rPr>
        <w:rFonts w:hint="eastAsia" w:ascii="宋体" w:hAnsi="宋体" w:eastAsia="宋体" w:cs="Times New Roman"/>
        <w:b/>
        <w:bCs w:val="0"/>
        <w:i w:val="0"/>
        <w:iCs w:val="0"/>
        <w:caps w:val="0"/>
        <w:smallCaps w:val="0"/>
        <w:strike w:val="0"/>
        <w:dstrike w:val="0"/>
        <w:vanish w:val="0"/>
        <w:spacing w:val="0"/>
        <w:position w:val="0"/>
        <w:sz w:val="24"/>
        <w:u w:val="none"/>
        <w:vertAlign w:val="baseline"/>
      </w:rPr>
    </w:lvl>
    <w:lvl w:ilvl="6" w:tentative="0">
      <w:start w:val="1"/>
      <w:numFmt w:val="decimal"/>
      <w:isLg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1D649E"/>
    <w:rsid w:val="08491489"/>
    <w:rsid w:val="50C65E47"/>
    <w:rsid w:val="531D64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qFormat="1"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line="259" w:lineRule="auto"/>
    </w:pPr>
    <w:rPr>
      <w:rFonts w:ascii="Tahoma" w:hAnsi="Tahoma" w:eastAsia="微软雅黑" w:cs="Times New Roman"/>
      <w:sz w:val="22"/>
      <w:szCs w:val="22"/>
      <w:lang w:val="en-US" w:eastAsia="zh-CN" w:bidi="ar-SA"/>
    </w:rPr>
  </w:style>
  <w:style w:type="paragraph" w:styleId="5">
    <w:name w:val="heading 1"/>
    <w:basedOn w:val="1"/>
    <w:next w:val="1"/>
    <w:qFormat/>
    <w:uiPriority w:val="0"/>
    <w:pPr>
      <w:keepNext/>
      <w:keepLines/>
      <w:widowControl w:val="0"/>
      <w:numPr>
        <w:ilvl w:val="0"/>
        <w:numId w:val="1"/>
      </w:numPr>
      <w:adjustRightInd/>
      <w:snapToGrid/>
      <w:spacing w:beforeLines="50" w:afterLines="50" w:line="360" w:lineRule="auto"/>
      <w:outlineLvl w:val="0"/>
    </w:pPr>
    <w:rPr>
      <w:rFonts w:ascii="Times New Roman" w:hAnsi="Times New Roman" w:eastAsia="宋体"/>
      <w:b/>
      <w:kern w:val="44"/>
      <w:sz w:val="32"/>
      <w:szCs w:val="24"/>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rPr>
      <w:rFonts w:ascii="Calibri" w:hAnsi="Calibri" w:eastAsia="仿宋_GB2312"/>
      <w:sz w:val="24"/>
      <w:szCs w:val="21"/>
    </w:rPr>
  </w:style>
  <w:style w:type="paragraph" w:styleId="3">
    <w:name w:val="Body Text First Indent"/>
    <w:basedOn w:val="2"/>
    <w:next w:val="4"/>
    <w:qFormat/>
    <w:uiPriority w:val="0"/>
    <w:pPr>
      <w:spacing w:line="360" w:lineRule="auto"/>
      <w:ind w:firstLine="420"/>
      <w:textAlignment w:val="baseline"/>
    </w:pPr>
    <w:rPr>
      <w:rFonts w:eastAsia="楷体_GB2312"/>
      <w:b/>
      <w:bCs/>
      <w:szCs w:val="20"/>
      <w:lang w:eastAsia="en-US"/>
    </w:rPr>
  </w:style>
  <w:style w:type="paragraph" w:styleId="4">
    <w:name w:val="Note Heading"/>
    <w:basedOn w:val="1"/>
    <w:next w:val="1"/>
    <w:qFormat/>
    <w:uiPriority w:val="0"/>
    <w:pPr>
      <w:spacing w:line="480" w:lineRule="exact"/>
    </w:pPr>
  </w:style>
  <w:style w:type="paragraph" w:customStyle="1" w:styleId="8">
    <w:name w:val="表格文字"/>
    <w:basedOn w:val="1"/>
    <w:qFormat/>
    <w:uiPriority w:val="0"/>
    <w:pPr>
      <w:spacing w:line="120" w:lineRule="auto"/>
      <w:jc w:val="center"/>
    </w:pPr>
    <w:rPr>
      <w:rFonts w:hint="eastAsia" w:ascii="宋体" w:hAnsi="宋体" w:eastAsia="宋体" w:cs="宋体"/>
      <w:color w:val="191F25"/>
      <w:sz w:val="24"/>
      <w:szCs w:val="32"/>
      <w:shd w:val="clear" w:color="auto" w:fill="auto"/>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2021-09-17T07:28:00Z</dcterms:created>
  <dc:creator>小溪</dc:creator>
  <cp:lastModifiedBy>小溪</cp:lastModifiedBy>
  <dcterms:modified xsi:type="dcterms:W3CDTF">2021-09-17T07:29:24Z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DB18A86D1F1F4FC79A32007EBCD4EB25</vt:lpwstr>
  </property>
</Properties>
</file>