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numPr>
          <w:ilvl w:val="0"/>
          <w:numId w:val="0"/>
        </w:numPr>
        <w:spacing w:beforeLines="0" w:after="156"/>
        <w:jc w:val="center"/>
        <w:rPr>
          <w:rFonts w:ascii="仿宋" w:hAnsi="仿宋" w:eastAsia="仿宋" w:cs="仿宋"/>
          <w:sz w:val="36"/>
          <w:szCs w:val="36"/>
        </w:rPr>
      </w:pPr>
      <w:r>
        <w:rPr>
          <w:rFonts w:hint="eastAsia" w:ascii="仿宋" w:hAnsi="仿宋" w:eastAsia="仿宋" w:cs="仿宋"/>
          <w:sz w:val="36"/>
          <w:szCs w:val="36"/>
        </w:rPr>
        <w:t>采购内容及要求</w:t>
      </w:r>
    </w:p>
    <w:p>
      <w:pPr>
        <w:keepNext/>
        <w:keepLines/>
        <w:autoSpaceDE w:val="0"/>
        <w:autoSpaceDN w:val="0"/>
        <w:adjustRightInd/>
        <w:spacing w:line="360" w:lineRule="auto"/>
        <w:outlineLvl w:val="0"/>
        <w:rPr>
          <w:rFonts w:ascii="仿宋" w:hAnsi="仿宋" w:eastAsia="仿宋" w:cs="仿宋"/>
          <w:sz w:val="24"/>
          <w:lang w:val="zh-CN"/>
        </w:rPr>
      </w:pPr>
      <w:bookmarkStart w:id="0" w:name="_GoBack"/>
      <w:bookmarkEnd w:id="0"/>
      <w:r>
        <w:rPr>
          <w:rFonts w:hint="eastAsia" w:ascii="仿宋" w:hAnsi="仿宋" w:eastAsia="仿宋" w:cs="仿宋"/>
          <w:sz w:val="24"/>
          <w:lang w:val="zh-CN"/>
        </w:rPr>
        <w:t>一、标的</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为有效协同推进现有集团财务管控系统整体提升数字化建设，进一步夯实衢州市本级国有企业会计核算基础，提升财务信息质量，需要根据会计准则最新变化，精准部署会计科目与报表列报，开展必要的会计核算规范化操作培训。</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鉴于目标任务专业性强，而采购人现有专业技术支撑力量不足，需聘请会计师事务所专业力量协助完成，服务费用上限</w:t>
      </w:r>
      <w:r>
        <w:rPr>
          <w:rFonts w:hint="eastAsia" w:ascii="仿宋" w:hAnsi="仿宋" w:eastAsia="仿宋" w:cs="仿宋"/>
          <w:sz w:val="24"/>
          <w:lang w:val="en-US" w:eastAsia="zh-CN"/>
        </w:rPr>
        <w:t>30</w:t>
      </w:r>
      <w:r>
        <w:rPr>
          <w:rFonts w:hint="eastAsia" w:ascii="仿宋" w:hAnsi="仿宋" w:eastAsia="仿宋" w:cs="仿宋"/>
          <w:sz w:val="24"/>
          <w:lang w:val="zh-CN"/>
        </w:rPr>
        <w:t>万元。</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二、服务内容</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1.根据会计准则最新变化、中国注册会计师协会指导性意见及行业特性，修订《衢州市国资公司会计核算办法》，完善国资体系会计科目与报表列报设置。</w:t>
      </w:r>
    </w:p>
    <w:p>
      <w:pPr>
        <w:keepNext/>
        <w:keepLines/>
        <w:autoSpaceDE w:val="0"/>
        <w:autoSpaceDN w:val="0"/>
        <w:adjustRightInd/>
        <w:spacing w:line="360" w:lineRule="auto"/>
        <w:ind w:firstLine="480" w:firstLineChars="200"/>
        <w:outlineLvl w:val="0"/>
        <w:rPr>
          <w:rFonts w:hint="eastAsia" w:ascii="仿宋" w:hAnsi="仿宋" w:eastAsia="仿宋" w:cs="仿宋"/>
          <w:sz w:val="24"/>
          <w:lang w:val="zh-CN"/>
        </w:rPr>
      </w:pPr>
      <w:r>
        <w:rPr>
          <w:rFonts w:hint="eastAsia" w:ascii="仿宋" w:hAnsi="仿宋" w:eastAsia="仿宋" w:cs="仿宋"/>
          <w:sz w:val="24"/>
          <w:lang w:val="zh-CN"/>
        </w:rPr>
        <w:t>2.结合用友NCC系统操作培训，在服务期内适时开展新修订《衢州市国资公司会计核算办法》专题培训不少于</w:t>
      </w:r>
      <w:r>
        <w:rPr>
          <w:rFonts w:hint="eastAsia" w:ascii="仿宋" w:hAnsi="仿宋" w:eastAsia="仿宋" w:cs="仿宋"/>
          <w:sz w:val="24"/>
          <w:lang w:val="en-US" w:eastAsia="zh-CN"/>
        </w:rPr>
        <w:t>4</w:t>
      </w:r>
      <w:r>
        <w:rPr>
          <w:rFonts w:hint="eastAsia" w:ascii="仿宋" w:hAnsi="仿宋" w:eastAsia="仿宋" w:cs="仿宋"/>
          <w:sz w:val="24"/>
          <w:lang w:val="zh-CN"/>
        </w:rPr>
        <w:t>场次，每场次参加培训人员不超</w:t>
      </w:r>
      <w:r>
        <w:rPr>
          <w:rFonts w:hint="eastAsia" w:ascii="仿宋" w:hAnsi="仿宋" w:eastAsia="仿宋" w:cs="仿宋"/>
          <w:sz w:val="24"/>
          <w:lang w:val="en-US" w:eastAsia="zh-CN"/>
        </w:rPr>
        <w:t>50</w:t>
      </w:r>
      <w:r>
        <w:rPr>
          <w:rFonts w:hint="eastAsia" w:ascii="仿宋" w:hAnsi="仿宋" w:eastAsia="仿宋" w:cs="仿宋"/>
          <w:sz w:val="24"/>
          <w:lang w:val="zh-CN"/>
        </w:rPr>
        <w:t>人（不含），重点解读会计准则变化、会计科目与报表列报设置变化等相关内容。培训场地与费用由聘请的会计师事务所与用友网络科技股份有限公司自行商议确定。</w:t>
      </w:r>
    </w:p>
    <w:p>
      <w:pPr>
        <w:keepNext/>
        <w:keepLines/>
        <w:autoSpaceDE w:val="0"/>
        <w:autoSpaceDN w:val="0"/>
        <w:adjustRightInd/>
        <w:spacing w:line="360" w:lineRule="auto"/>
        <w:ind w:firstLine="480" w:firstLineChars="200"/>
        <w:outlineLvl w:val="0"/>
        <w:rPr>
          <w:rFonts w:hint="eastAsia" w:ascii="仿宋" w:hAnsi="仿宋" w:eastAsia="仿宋" w:cs="仿宋"/>
          <w:sz w:val="24"/>
          <w:lang w:val="zh-CN"/>
        </w:rPr>
      </w:pPr>
      <w:r>
        <w:rPr>
          <w:rFonts w:hint="eastAsia" w:ascii="仿宋" w:hAnsi="仿宋" w:eastAsia="仿宋" w:cs="仿宋"/>
          <w:sz w:val="24"/>
          <w:lang w:val="zh-CN"/>
        </w:rPr>
        <w:t>3.在服务期内，安排专人协同用友网络科技股份有限公司，完成会计科目与报表列报系统部署，涉及调整或增减内容部分，应做好新旧会计科目与报表列报对照检查，出具相关单位科目调整报告（含附注）。</w:t>
      </w:r>
    </w:p>
    <w:p>
      <w:pPr>
        <w:keepNext/>
        <w:keepLines/>
        <w:autoSpaceDE w:val="0"/>
        <w:autoSpaceDN w:val="0"/>
        <w:adjustRightInd/>
        <w:spacing w:line="360" w:lineRule="auto"/>
        <w:ind w:firstLine="480" w:firstLineChars="200"/>
        <w:outlineLvl w:val="0"/>
        <w:rPr>
          <w:rFonts w:hint="eastAsia" w:eastAsia="仿宋"/>
          <w:lang w:val="en-US" w:eastAsia="zh-CN"/>
        </w:rPr>
      </w:pPr>
      <w:r>
        <w:rPr>
          <w:rFonts w:hint="eastAsia" w:ascii="仿宋" w:hAnsi="仿宋" w:eastAsia="仿宋" w:cs="仿宋"/>
          <w:sz w:val="24"/>
          <w:lang w:val="en-US" w:eastAsia="zh-CN"/>
        </w:rPr>
        <w:t>4</w:t>
      </w:r>
      <w:r>
        <w:rPr>
          <w:rFonts w:hint="eastAsia" w:ascii="仿宋" w:hAnsi="仿宋" w:eastAsia="仿宋" w:cs="仿宋"/>
          <w:sz w:val="24"/>
          <w:lang w:val="zh-CN"/>
        </w:rPr>
        <w:t>.</w:t>
      </w:r>
      <w:r>
        <w:rPr>
          <w:rFonts w:hint="eastAsia" w:ascii="仿宋" w:hAnsi="仿宋" w:eastAsia="仿宋" w:cs="仿宋"/>
          <w:sz w:val="24"/>
          <w:lang w:val="en-US" w:eastAsia="zh-CN"/>
        </w:rPr>
        <w:t>新会计年度，按照新修订的</w:t>
      </w:r>
      <w:r>
        <w:rPr>
          <w:rFonts w:hint="eastAsia" w:ascii="仿宋" w:hAnsi="仿宋" w:eastAsia="仿宋" w:cs="仿宋"/>
          <w:sz w:val="24"/>
          <w:lang w:val="zh-CN"/>
        </w:rPr>
        <w:t>《衢州市国资公司会计核算办法》进行全集团</w:t>
      </w:r>
      <w:r>
        <w:rPr>
          <w:rFonts w:hint="eastAsia" w:ascii="仿宋" w:hAnsi="仿宋" w:eastAsia="仿宋" w:cs="仿宋"/>
          <w:sz w:val="24"/>
          <w:lang w:val="en-US" w:eastAsia="zh-CN"/>
        </w:rPr>
        <w:t>1+4+2+2的</w:t>
      </w:r>
      <w:r>
        <w:rPr>
          <w:rFonts w:hint="eastAsia" w:ascii="仿宋" w:hAnsi="仿宋" w:eastAsia="仿宋" w:cs="仿宋"/>
          <w:sz w:val="24"/>
          <w:lang w:val="zh-CN"/>
        </w:rPr>
        <w:t>入账规范性指导、检查，并督促其规范入账。</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三、完成期限</w:t>
      </w:r>
    </w:p>
    <w:p>
      <w:pPr>
        <w:keepNext/>
        <w:keepLines/>
        <w:autoSpaceDE w:val="0"/>
        <w:autoSpaceDN w:val="0"/>
        <w:adjustRightInd/>
        <w:spacing w:line="360" w:lineRule="auto"/>
        <w:ind w:firstLine="480" w:firstLineChars="200"/>
        <w:outlineLvl w:val="0"/>
        <w:rPr>
          <w:rFonts w:hint="default" w:ascii="仿宋" w:hAnsi="仿宋" w:eastAsia="仿宋" w:cs="仿宋"/>
          <w:sz w:val="24"/>
          <w:lang w:val="en-US" w:eastAsia="zh-CN"/>
        </w:rPr>
      </w:pPr>
      <w:r>
        <w:rPr>
          <w:rFonts w:hint="eastAsia" w:ascii="仿宋" w:hAnsi="仿宋" w:eastAsia="仿宋" w:cs="仿宋"/>
          <w:sz w:val="24"/>
          <w:lang w:val="zh-CN"/>
        </w:rPr>
        <w:t>202</w:t>
      </w:r>
      <w:r>
        <w:rPr>
          <w:rFonts w:hint="eastAsia" w:ascii="仿宋" w:hAnsi="仿宋" w:eastAsia="仿宋" w:cs="仿宋"/>
          <w:sz w:val="24"/>
          <w:lang w:val="en-US" w:eastAsia="zh-CN"/>
        </w:rPr>
        <w:t>2</w:t>
      </w:r>
      <w:r>
        <w:rPr>
          <w:rFonts w:hint="eastAsia" w:ascii="仿宋" w:hAnsi="仿宋" w:eastAsia="仿宋" w:cs="仿宋"/>
          <w:sz w:val="24"/>
          <w:lang w:val="zh-CN"/>
        </w:rPr>
        <w:t>年1月31日前。</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四、会计机构团队要求</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成交供应商要切实履行响应文件承诺的事项，合理安排会计支撑团队力量，团队人员要相对固定，避免项目衔接上有出入。其中：</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▲（1）项目负责人必须持有注册会计师执业资格证书。</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（2）项目负责人需由会计工作领域里经验丰富、业务能力强、参与过大型企业财务审计项目的负责人或项目经理及以上人员担任；</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（3）项目组成员需由具有审计、税务等从业经验、与企业沟通有经验、对中注会协会的新规有研究等相关人员，项目组成员不得少于5人。</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五、会计机构支撑的工作要求</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1.成交供应商按照中国注册会计师协会新会计准则的规定进行业务支撑；</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2.成交供应商需按照采购人的工作要求，合理安排人员跟进项目实施，人员需固定，未经采购人同意不得随意更换；</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3.成交供应商有义务向采购人在项目实施过程中，发现会计事项有欠合理之处进行指正修订；</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4.成交供应商利用自身专业知识，为甲方提供财务、税收、金融、证券、债券等方面的法律、法规、政策提供咨询服务，帮助企业正确理解与运用。</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5.项目实施过程中，有涉密事项，必须严格保密，违规则需追究法律责任。</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6.会计机构项目实施过程中，不得有下列行为：</w:t>
      </w:r>
    </w:p>
    <w:p>
      <w:pPr>
        <w:keepNext/>
        <w:keepLines/>
        <w:autoSpaceDE w:val="0"/>
        <w:autoSpaceDN w:val="0"/>
        <w:adjustRightInd/>
        <w:spacing w:line="360" w:lineRule="auto"/>
        <w:ind w:firstLine="720" w:firstLineChars="300"/>
        <w:outlineLvl w:val="0"/>
        <w:rPr>
          <w:rFonts w:ascii="仿宋" w:hAnsi="仿宋" w:eastAsia="仿宋" w:cs="仿宋"/>
          <w:sz w:val="24"/>
          <w:lang w:val="zh-CN"/>
        </w:rPr>
      </w:pPr>
      <w:r>
        <w:rPr>
          <w:rFonts w:hint="eastAsia" w:ascii="仿宋" w:hAnsi="仿宋" w:eastAsia="仿宋" w:cs="仿宋"/>
          <w:sz w:val="24"/>
          <w:lang w:val="zh-CN"/>
        </w:rPr>
        <w:t>a.不得将委托事项转委托给第三方；</w:t>
      </w:r>
    </w:p>
    <w:p>
      <w:pPr>
        <w:keepNext/>
        <w:keepLines/>
        <w:autoSpaceDE w:val="0"/>
        <w:autoSpaceDN w:val="0"/>
        <w:adjustRightInd/>
        <w:spacing w:line="360" w:lineRule="auto"/>
        <w:ind w:firstLine="720" w:firstLineChars="300"/>
        <w:outlineLvl w:val="0"/>
        <w:rPr>
          <w:rFonts w:ascii="仿宋" w:hAnsi="仿宋" w:eastAsia="仿宋" w:cs="仿宋"/>
          <w:sz w:val="24"/>
          <w:lang w:val="zh-CN"/>
        </w:rPr>
      </w:pPr>
      <w:r>
        <w:rPr>
          <w:rFonts w:hint="eastAsia" w:ascii="仿宋" w:hAnsi="仿宋" w:eastAsia="仿宋" w:cs="仿宋"/>
          <w:sz w:val="24"/>
          <w:lang w:val="zh-CN"/>
        </w:rPr>
        <w:t>b.违反法律、行政法规的其他行为。</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六、付款方式</w:t>
      </w:r>
    </w:p>
    <w:p>
      <w:pPr>
        <w:keepNext/>
        <w:keepLines/>
        <w:autoSpaceDE w:val="0"/>
        <w:autoSpaceDN w:val="0"/>
        <w:adjustRightInd/>
        <w:spacing w:line="360" w:lineRule="auto"/>
        <w:ind w:firstLine="480" w:firstLineChars="200"/>
        <w:outlineLvl w:val="0"/>
        <w:rPr>
          <w:rFonts w:ascii="仿宋" w:hAnsi="仿宋" w:eastAsia="仿宋" w:cs="仿宋"/>
          <w:sz w:val="24"/>
          <w:lang w:val="zh-CN"/>
        </w:rPr>
      </w:pPr>
      <w:r>
        <w:rPr>
          <w:rFonts w:hint="eastAsia" w:ascii="仿宋" w:hAnsi="仿宋" w:eastAsia="仿宋" w:cs="仿宋"/>
          <w:sz w:val="24"/>
          <w:lang w:val="zh-CN"/>
        </w:rPr>
        <w:t>合同签订且项目组开始进场工作10个工作日内支付10%的预付款，按照项目进度分3次等额支付。</w:t>
      </w:r>
    </w:p>
    <w:p>
      <w:pPr>
        <w:keepNext/>
        <w:keepLines/>
        <w:autoSpaceDE w:val="0"/>
        <w:autoSpaceDN w:val="0"/>
        <w:adjustRightInd/>
        <w:spacing w:line="360" w:lineRule="auto"/>
        <w:outlineLvl w:val="0"/>
        <w:rPr>
          <w:rFonts w:ascii="仿宋" w:hAnsi="仿宋" w:eastAsia="仿宋" w:cs="仿宋"/>
          <w:sz w:val="24"/>
          <w:lang w:val="zh-CN"/>
        </w:rPr>
      </w:pPr>
      <w:r>
        <w:rPr>
          <w:rFonts w:hint="eastAsia" w:ascii="仿宋" w:hAnsi="仿宋" w:eastAsia="仿宋" w:cs="仿宋"/>
          <w:sz w:val="24"/>
          <w:lang w:val="zh-CN"/>
        </w:rPr>
        <w:t>七、后续服务</w:t>
      </w:r>
    </w:p>
    <w:p>
      <w:pPr>
        <w:ind w:firstLine="480" w:firstLineChars="200"/>
        <w:rPr>
          <w:rFonts w:ascii="仿宋" w:hAnsi="仿宋" w:eastAsia="仿宋" w:cs="仿宋"/>
          <w:sz w:val="24"/>
          <w:lang w:val="zh-CN"/>
        </w:rPr>
      </w:pPr>
      <w:r>
        <w:rPr>
          <w:rFonts w:hint="eastAsia" w:ascii="仿宋" w:hAnsi="仿宋" w:eastAsia="仿宋" w:cs="仿宋"/>
          <w:sz w:val="24"/>
          <w:lang w:val="zh-CN"/>
        </w:rPr>
        <w:t>与衢州市本级国有企业数字化建设项目（项目编号：QZCQ-2021-CG0024）的实施进度同步，至少配合采购人后续会计新政支撑一年。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133286"/>
    <w:multiLevelType w:val="multilevel"/>
    <w:tmpl w:val="45133286"/>
    <w:lvl w:ilvl="0" w:tentative="0">
      <w:start w:val="1"/>
      <w:numFmt w:val="chineseCountingThousand"/>
      <w:pStyle w:val="2"/>
      <w:lvlText w:val="%1."/>
      <w:lvlJc w:val="left"/>
      <w:pPr>
        <w:ind w:left="0" w:firstLine="0"/>
      </w:pPr>
      <w:rPr>
        <w:rFonts w:hint="eastAsia" w:ascii="宋体" w:hAnsi="宋体" w:eastAsia="宋体"/>
        <w:b/>
        <w:i w:val="0"/>
        <w:sz w:val="32"/>
        <w:szCs w:val="21"/>
      </w:rPr>
    </w:lvl>
    <w:lvl w:ilvl="1" w:tentative="0">
      <w:start w:val="1"/>
      <w:numFmt w:val="decimal"/>
      <w:lvlText w:val="%2."/>
      <w:lvlJc w:val="left"/>
      <w:pPr>
        <w:ind w:left="0" w:firstLine="0"/>
      </w:pPr>
      <w:rPr>
        <w:rFonts w:hint="eastAsia"/>
      </w:rPr>
    </w:lvl>
    <w:lvl w:ilvl="2" w:tentative="0">
      <w:start w:val="1"/>
      <w:numFmt w:val="decimal"/>
      <w:lvlText w:val="%2.%3."/>
      <w:lvlJc w:val="left"/>
      <w:pPr>
        <w:ind w:left="0" w:firstLine="0"/>
      </w:pPr>
      <w:rPr>
        <w:rFonts w:hint="eastAsia"/>
      </w:rPr>
    </w:lvl>
    <w:lvl w:ilvl="3" w:tentative="0">
      <w:start w:val="1"/>
      <w:numFmt w:val="decimal"/>
      <w:lvlText w:val="%2.%3.%4."/>
      <w:lvlJc w:val="left"/>
      <w:pPr>
        <w:ind w:left="0" w:firstLine="0"/>
      </w:pPr>
      <w:rPr>
        <w:rFonts w:hint="eastAsia"/>
      </w:rPr>
    </w:lvl>
    <w:lvl w:ilvl="4" w:tentative="0">
      <w:start w:val="1"/>
      <w:numFmt w:val="decimal"/>
      <w:lvlText w:val="%2.%3.%4.%5."/>
      <w:lvlJc w:val="left"/>
      <w:pPr>
        <w:ind w:left="0" w:firstLine="0"/>
      </w:pPr>
      <w:rPr>
        <w:rFonts w:hint="eastAsia"/>
      </w:rPr>
    </w:lvl>
    <w:lvl w:ilvl="5" w:tentative="0">
      <w:start w:val="1"/>
      <w:numFmt w:val="decimal"/>
      <w:isLgl/>
      <w:lvlText w:val="%2.%3.%4.%5.%6."/>
      <w:lvlJc w:val="left"/>
      <w:pPr>
        <w:ind w:left="0" w:firstLine="0"/>
      </w:pPr>
      <w:rPr>
        <w:rFonts w:hint="eastAsia" w:ascii="宋体" w:hAnsi="宋体" w:eastAsia="宋体" w:cs="Times New Roman"/>
        <w:b/>
        <w:bCs w:val="0"/>
        <w:i w:val="0"/>
        <w:iCs w:val="0"/>
        <w:caps w:val="0"/>
        <w:smallCaps w:val="0"/>
        <w:strike w:val="0"/>
        <w:dstrike w:val="0"/>
        <w:vanish w:val="0"/>
        <w:spacing w:val="0"/>
        <w:position w:val="0"/>
        <w:sz w:val="24"/>
        <w:u w:val="none"/>
        <w:vertAlign w:val="baseline"/>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B773B"/>
    <w:rsid w:val="104B773B"/>
    <w:rsid w:val="32E5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0"/>
    <w:pPr>
      <w:keepNext/>
      <w:keepLines/>
      <w:widowControl w:val="0"/>
      <w:numPr>
        <w:ilvl w:val="0"/>
        <w:numId w:val="1"/>
      </w:numPr>
      <w:adjustRightInd/>
      <w:snapToGrid/>
      <w:spacing w:beforeLines="50" w:afterLines="50" w:line="360" w:lineRule="auto"/>
      <w:outlineLvl w:val="0"/>
    </w:pPr>
    <w:rPr>
      <w:rFonts w:ascii="Times New Roman" w:hAnsi="Times New Roman" w:eastAsia="宋体"/>
      <w:b/>
      <w:kern w:val="44"/>
      <w:sz w:val="32"/>
      <w:szCs w:val="2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2021-06-04T10:04:00Z</dcterms:created>
  <dc:creator>猜猜呀</dc:creator>
  <cp:lastModifiedBy>猜猜呀</cp:lastModifiedBy>
  <dcterms:modified xsi:type="dcterms:W3CDTF">2021-06-04T10:07:30Z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1E951EC6CE2C4E178D26FCB21199A666</vt:lpwstr>
  </property>
</Properties>
</file>