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kinsoku/>
        <w:wordWrap/>
        <w:overflowPunct/>
        <w:topLinePunct/>
        <w:autoSpaceDE/>
        <w:autoSpaceDN/>
        <w:bidi w:val="0"/>
        <w:adjustRightInd/>
        <w:snapToGrid/>
        <w:spacing w:beforeLines="0" w:after="0" w:afterLines="0" w:line="240" w:lineRule="auto"/>
        <w:ind w:left="0" w:leftChars="0" w:firstLine="723" w:firstLineChars="200"/>
        <w:jc w:val="center"/>
        <w:outlineLvl w:val="0"/>
        <w:rPr>
          <w:rFonts w:hint="eastAsia" w:ascii="宋体" w:hAnsi="宋体" w:eastAsia="宋体" w:cs="宋体"/>
          <w:spacing w:val="0"/>
          <w:w w:val="100"/>
          <w:kern w:val="21"/>
          <w:sz w:val="36"/>
          <w:szCs w:val="36"/>
        </w:rPr>
      </w:pPr>
      <w:r>
        <w:rPr>
          <w:rFonts w:hint="eastAsia" w:ascii="宋体" w:hAnsi="宋体" w:eastAsia="宋体" w:cs="宋体"/>
          <w:spacing w:val="0"/>
          <w:w w:val="100"/>
          <w:kern w:val="21"/>
          <w:sz w:val="36"/>
          <w:szCs w:val="36"/>
          <w:lang w:val="en-US" w:eastAsia="zh-CN"/>
        </w:rPr>
        <w:t>衢州市基础设施投资有限责任公司食堂食材配送服务采购项目</w:t>
      </w:r>
      <w:r>
        <w:rPr>
          <w:rFonts w:hint="eastAsia" w:ascii="宋体" w:hAnsi="宋体" w:eastAsia="宋体" w:cs="宋体"/>
          <w:spacing w:val="0"/>
          <w:w w:val="100"/>
          <w:kern w:val="21"/>
          <w:sz w:val="36"/>
          <w:szCs w:val="36"/>
        </w:rPr>
        <w:t>采购内容及要求</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bookmarkStart w:id="0" w:name="_Toc29259"/>
      <w:bookmarkStart w:id="1" w:name="_Toc15655"/>
      <w:r>
        <w:rPr>
          <w:rFonts w:hint="eastAsia" w:asciiTheme="minorEastAsia" w:hAnsiTheme="minorEastAsia" w:eastAsiaTheme="minorEastAsia" w:cstheme="minorEastAsia"/>
          <w:sz w:val="22"/>
          <w:szCs w:val="22"/>
        </w:rPr>
        <w:t>一、招标内容</w:t>
      </w:r>
      <w:bookmarkEnd w:id="0"/>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1.配送产品：</w:t>
      </w:r>
      <w:r>
        <w:rPr>
          <w:rFonts w:hint="eastAsia" w:asciiTheme="minorEastAsia" w:hAnsiTheme="minorEastAsia" w:eastAsiaTheme="minorEastAsia" w:cstheme="minorEastAsia"/>
          <w:sz w:val="22"/>
          <w:szCs w:val="22"/>
          <w:lang w:eastAsia="zh-CN"/>
        </w:rPr>
        <w:t>大米、面粉、食用油、杂粮、</w:t>
      </w:r>
      <w:r>
        <w:rPr>
          <w:rFonts w:hint="eastAsia" w:asciiTheme="minorEastAsia" w:hAnsiTheme="minorEastAsia" w:eastAsiaTheme="minorEastAsia" w:cstheme="minorEastAsia"/>
          <w:sz w:val="22"/>
          <w:szCs w:val="22"/>
        </w:rPr>
        <w:t>肉类、蔬菜、</w:t>
      </w:r>
      <w:r>
        <w:rPr>
          <w:rFonts w:hint="eastAsia" w:asciiTheme="minorEastAsia" w:hAnsiTheme="minorEastAsia" w:eastAsiaTheme="minorEastAsia" w:cstheme="minorEastAsia"/>
          <w:sz w:val="22"/>
          <w:szCs w:val="22"/>
          <w:lang w:eastAsia="zh-CN"/>
        </w:rPr>
        <w:t>鱼鲜类、</w:t>
      </w:r>
      <w:r>
        <w:rPr>
          <w:rFonts w:hint="eastAsia" w:asciiTheme="minorEastAsia" w:hAnsiTheme="minorEastAsia" w:eastAsiaTheme="minorEastAsia" w:cstheme="minorEastAsia"/>
          <w:sz w:val="22"/>
          <w:szCs w:val="22"/>
        </w:rPr>
        <w:t>干货、禽蛋、</w:t>
      </w:r>
      <w:r>
        <w:rPr>
          <w:rFonts w:hint="eastAsia" w:asciiTheme="minorEastAsia" w:hAnsiTheme="minorEastAsia" w:eastAsiaTheme="minorEastAsia" w:cstheme="minorEastAsia"/>
          <w:sz w:val="22"/>
          <w:szCs w:val="22"/>
          <w:lang w:eastAsia="zh-CN"/>
        </w:rPr>
        <w:t>早点、面点、</w:t>
      </w:r>
      <w:r>
        <w:rPr>
          <w:rFonts w:hint="eastAsia" w:asciiTheme="minorEastAsia" w:hAnsiTheme="minorEastAsia" w:eastAsiaTheme="minorEastAsia" w:cstheme="minorEastAsia"/>
          <w:sz w:val="22"/>
          <w:szCs w:val="22"/>
        </w:rPr>
        <w:t>豆制品、半成品食品、海鲜水产、冷冻食品、水果及调料等的定点采购及配送。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2.配送规模：食堂就餐规模约</w:t>
      </w:r>
      <w:r>
        <w:rPr>
          <w:rFonts w:hint="eastAsia" w:asciiTheme="minorEastAsia" w:hAnsiTheme="minorEastAsia" w:eastAsiaTheme="minorEastAsia" w:cstheme="minorEastAsia"/>
          <w:sz w:val="22"/>
          <w:szCs w:val="22"/>
          <w:lang w:val="en-US" w:eastAsia="zh-CN"/>
        </w:rPr>
        <w:t>350</w:t>
      </w:r>
      <w:r>
        <w:rPr>
          <w:rFonts w:hint="eastAsia" w:asciiTheme="minorEastAsia" w:hAnsiTheme="minorEastAsia" w:eastAsiaTheme="minorEastAsia" w:cstheme="minorEastAsia"/>
          <w:sz w:val="22"/>
          <w:szCs w:val="22"/>
        </w:rPr>
        <w:t>人</w:t>
      </w:r>
      <w:r>
        <w:rPr>
          <w:rFonts w:hint="eastAsia" w:asciiTheme="minorEastAsia" w:hAnsiTheme="minorEastAsia" w:eastAsiaTheme="minorEastAsia" w:cstheme="minorEastAsia"/>
          <w:sz w:val="22"/>
          <w:szCs w:val="22"/>
          <w:lang w:val="en-US" w:eastAsia="zh-CN"/>
        </w:rPr>
        <w:t>/天；</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计划配送点</w:t>
      </w:r>
      <w:r>
        <w:rPr>
          <w:rFonts w:hint="eastAsia" w:asciiTheme="minorEastAsia" w:hAnsiTheme="minorEastAsia" w:eastAsiaTheme="minorEastAsia" w:cstheme="minorEastAsia"/>
          <w:sz w:val="22"/>
          <w:szCs w:val="22"/>
          <w:lang w:val="en-US" w:eastAsia="zh-CN"/>
        </w:rPr>
        <w:t>:衢州市基础设施投资有限责任公司（衢州市柯城区九华北大道333号）</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食材送达时间约为每日早晨7时至8时，具体以保证食堂正常就餐为准，</w:t>
      </w:r>
      <w:r>
        <w:rPr>
          <w:rFonts w:hint="eastAsia" w:asciiTheme="minorEastAsia" w:hAnsiTheme="minorEastAsia" w:eastAsiaTheme="minorEastAsia" w:cstheme="minorEastAsia"/>
          <w:sz w:val="22"/>
          <w:szCs w:val="22"/>
        </w:rPr>
        <w:t>数量以实际采购数量为准。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lang w:eastAsia="zh-CN"/>
        </w:rPr>
        <w:t>服务范围：每日早餐、中餐和晚餐需求的各类食材，以及不定期的包厢食材配送（费用含在报价内）</w:t>
      </w:r>
      <w:r>
        <w:rPr>
          <w:rFonts w:hint="eastAsia" w:asciiTheme="minorEastAsia" w:hAnsiTheme="minorEastAsia" w:eastAsiaTheme="minorEastAsia" w:cstheme="minorEastAsia"/>
          <w:sz w:val="22"/>
          <w:szCs w:val="22"/>
          <w:lang w:val="en-US" w:eastAsia="zh-CN"/>
        </w:rPr>
        <w:t>,临时</w:t>
      </w:r>
      <w:r>
        <w:rPr>
          <w:rFonts w:hint="eastAsia" w:asciiTheme="minorEastAsia" w:hAnsiTheme="minorEastAsia" w:eastAsiaTheme="minorEastAsia" w:cstheme="minorEastAsia"/>
          <w:sz w:val="22"/>
          <w:szCs w:val="22"/>
          <w:lang w:eastAsia="zh-CN"/>
        </w:rPr>
        <w:t>包厢配送中标人必须按照采购人要求在</w:t>
      </w:r>
      <w:r>
        <w:rPr>
          <w:rFonts w:hint="eastAsia" w:asciiTheme="minorEastAsia" w:hAnsiTheme="minorEastAsia" w:eastAsiaTheme="minorEastAsia" w:cstheme="minorEastAsia"/>
          <w:sz w:val="22"/>
          <w:szCs w:val="22"/>
          <w:lang w:val="en-US" w:eastAsia="zh-CN"/>
        </w:rPr>
        <w:t>45</w:t>
      </w:r>
      <w:r>
        <w:rPr>
          <w:rFonts w:hint="eastAsia" w:asciiTheme="minorEastAsia" w:hAnsiTheme="minorEastAsia" w:eastAsiaTheme="minorEastAsia" w:cstheme="minorEastAsia"/>
          <w:sz w:val="22"/>
          <w:szCs w:val="22"/>
          <w:lang w:eastAsia="zh-CN"/>
        </w:rPr>
        <w:t>分钟内将货物送达；</w:t>
      </w:r>
      <w:r>
        <w:rPr>
          <w:rFonts w:hint="eastAsia" w:asciiTheme="minorEastAsia" w:hAnsiTheme="minorEastAsia" w:eastAsiaTheme="minorEastAsia" w:cstheme="minorEastAsia"/>
          <w:sz w:val="22"/>
          <w:szCs w:val="22"/>
          <w:lang w:val="en-US" w:eastAsia="zh-CN"/>
        </w:rPr>
        <w:t>单位内设小超市，每周工作日开放，小超市所售产品价格(让利折扣前价格）不得高于衢州市区大型超市（东方、永辉、沃尔玛等）任选两家的平均价。</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bookmarkStart w:id="2" w:name="_Toc26698"/>
      <w:r>
        <w:rPr>
          <w:rFonts w:hint="eastAsia" w:asciiTheme="minorEastAsia" w:hAnsiTheme="minorEastAsia" w:eastAsiaTheme="minorEastAsia" w:cstheme="minorEastAsia"/>
          <w:sz w:val="22"/>
          <w:szCs w:val="22"/>
        </w:rPr>
        <w:t>二、配送具体内容清单及质量要求</w:t>
      </w:r>
      <w:bookmarkEnd w:id="2"/>
    </w:p>
    <w:tbl>
      <w:tblPr>
        <w:tblStyle w:val="4"/>
        <w:tblW w:w="9460" w:type="dxa"/>
        <w:jc w:val="center"/>
        <w:tblLayout w:type="fixed"/>
        <w:tblCellMar>
          <w:top w:w="0" w:type="dxa"/>
          <w:left w:w="108" w:type="dxa"/>
          <w:bottom w:w="0" w:type="dxa"/>
          <w:right w:w="108" w:type="dxa"/>
        </w:tblCellMar>
      </w:tblPr>
      <w:tblGrid>
        <w:gridCol w:w="952"/>
        <w:gridCol w:w="1885"/>
        <w:gridCol w:w="6623"/>
      </w:tblGrid>
      <w:tr>
        <w:tblPrEx>
          <w:tblCellMar>
            <w:top w:w="0" w:type="dxa"/>
            <w:left w:w="108" w:type="dxa"/>
            <w:bottom w:w="0" w:type="dxa"/>
            <w:right w:w="108" w:type="dxa"/>
          </w:tblCellMar>
        </w:tblPrEx>
        <w:trPr>
          <w:trHeight w:val="37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序号</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品名</w:t>
            </w:r>
          </w:p>
        </w:tc>
        <w:tc>
          <w:tcPr>
            <w:tcW w:w="662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质量要求</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xml:space="preserve">土豆 </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颜色淡黄或奶白，个大形正、大小整齐，表皮光滑，体硬不软，饱满。</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茄子</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型直长、紫色，表面光滑有光泽，有弹性不软；皮薄肉嫩籽少，个体均匀。</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冬瓜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吊瓜，皮青翠，有白霜，肉洁白、厚嫩、紧密，膛小，有一定硬度。表皮平整光滑、无外伤腐烂。</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黄瓜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颜色青绿，瓜身细短、条直均匀，瓜把小，表皮有光泽，肉脆甜、瓤小籽少。</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苦瓜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颜色淡绿色或白色、有光泽，凸处明显，条直均匀，有一定硬度，瓤黄白，子小、味苦。</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韭黄</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大韭黄，叶肥挺，稍弯曲，色泽淡黄，香味浓郁，长20厘米以内。</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韭菜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叶较宽，挺直，翠绿色，根部洁白，软嫩且有韭菜味，根株均匀，长20厘米以内。</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老姜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颜色淡黄，表皮完整，姜体脆硬，肥大有姜味。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sz w:val="22"/>
                <w:szCs w:val="22"/>
              </w:rPr>
              <w:t>仔姜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sz w:val="22"/>
                <w:szCs w:val="22"/>
              </w:rPr>
              <w:t>颜色淡黄，表皮完整，姜体脆硬，肥大有姜味。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val="en-US" w:eastAsia="zh-CN"/>
              </w:rPr>
              <w:t>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洋葱（红皮）</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鳞片颜色粉白或紫白，鳞片肥厚，完整无损，抱合紧密，球茎干度适中，有一定硬度。</w:t>
            </w:r>
          </w:p>
        </w:tc>
      </w:tr>
      <w:tr>
        <w:tblPrEx>
          <w:tblCellMar>
            <w:top w:w="0" w:type="dxa"/>
            <w:left w:w="108" w:type="dxa"/>
            <w:bottom w:w="0" w:type="dxa"/>
            <w:right w:w="108" w:type="dxa"/>
          </w:tblCellMar>
        </w:tblPrEx>
        <w:trPr>
          <w:trHeight w:val="90"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val="en-US" w:eastAsia="zh-CN"/>
              </w:rPr>
              <w:t>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香葱</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叶翠绿、饱满充气，均匀细长、鳞茎洁白二挺直、香味浓郁，长15-30厘米。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val="en-US" w:eastAsia="zh-CN"/>
              </w:rPr>
              <w:t>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大葱</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葱叶为管状、浅绿色，葱白长、紧实、挺直，无根、长约5 0厘米。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val="en-US" w:eastAsia="zh-CN"/>
              </w:rPr>
              <w:t>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蒜苔</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颜色深绿，梗细滑、有光泽、挺直、鲜嫩、指甲掐之易断。</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val="en-US" w:eastAsia="zh-CN"/>
              </w:rPr>
              <w:t>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蒜苗</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叶翠绿、薄嫩、挺直，蒜茎洁白，水份充足，外表无水。</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val="en-US" w:eastAsia="zh-CN"/>
              </w:rPr>
              <w:t>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蒜米</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白色，无霉烂、无瘢痕。</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番茄</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颜色大红、粉红或黄色、光泽亮艳，个大圆整，大小规整，饱满有弹性，至少八成熟，肉厚籽少，味甜中带酸。</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青椒</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个大、直长、薄皮，颜色碧绿，有光泽、表面光滑，饱满有一定硬度和弹性，肉层中等有辣味。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sz w:val="22"/>
                <w:szCs w:val="22"/>
              </w:rPr>
              <w:t>1</w:t>
            </w:r>
            <w:r>
              <w:rPr>
                <w:rFonts w:hint="eastAsia" w:asciiTheme="minorEastAsia" w:hAnsiTheme="minorEastAsia" w:eastAsiaTheme="minorEastAsia" w:cstheme="minorEastAsia"/>
                <w:color w:val="000000"/>
                <w:sz w:val="22"/>
                <w:szCs w:val="22"/>
                <w:lang w:val="en-US" w:eastAsia="zh-CN"/>
              </w:rPr>
              <w:t>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sz w:val="22"/>
                <w:szCs w:val="22"/>
              </w:rPr>
              <w:t>小青椒</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sz w:val="22"/>
                <w:szCs w:val="22"/>
              </w:rPr>
              <w:t>细长圆锥形、颜色黄绿或碧绿，有光泽、表现光滑，饱满有一定硬度和弹性，肉薄籽多、辣味重。</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甜椒</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颜色红艳，有光泽、表面光滑，饱满有一定硬度及弹性，无腐烂、干尖、皱纹、断裂、干软、泥土，长度不低于8厘米，宽不低于3厘米，表面无虫眼。</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2</w:t>
            </w:r>
            <w:r>
              <w:rPr>
                <w:rFonts w:hint="eastAsia" w:asciiTheme="minorEastAsia" w:hAnsiTheme="minorEastAsia" w:eastAsiaTheme="minorEastAsia" w:cstheme="minorEastAsia"/>
                <w:color w:val="000000"/>
                <w:sz w:val="22"/>
                <w:szCs w:val="22"/>
                <w:lang w:val="en-US" w:eastAsia="zh-CN"/>
              </w:rPr>
              <w:t>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藕（洗）</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表皮颜色白中带黄，藕节肥大，无叉，水分充足，肉洁白脆嫩，藕节3－4节。</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2</w:t>
            </w:r>
            <w:r>
              <w:rPr>
                <w:rFonts w:hint="eastAsia" w:asciiTheme="minorEastAsia" w:hAnsiTheme="minorEastAsia" w:eastAsiaTheme="minorEastAsia" w:cstheme="minorEastAsia"/>
                <w:color w:val="000000"/>
                <w:sz w:val="22"/>
                <w:szCs w:val="22"/>
                <w:lang w:val="en-US" w:eastAsia="zh-CN"/>
              </w:rPr>
              <w:t>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花菜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中号，花蕾颜色洁白或乳白、功密坚实不散，球形完整、表面湿润，花梗乳白或淡绿，紧凑，外叶绿色且少，主茎短，断面洁白。</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rPr>
              <w:t>2</w:t>
            </w:r>
            <w:r>
              <w:rPr>
                <w:rFonts w:hint="eastAsia" w:asciiTheme="minorEastAsia" w:hAnsiTheme="minorEastAsia" w:eastAsiaTheme="minorEastAsia" w:cstheme="minorEastAsia"/>
                <w:color w:val="000000"/>
                <w:sz w:val="22"/>
                <w:szCs w:val="22"/>
                <w:lang w:val="en-US" w:eastAsia="zh-CN"/>
              </w:rPr>
              <w:t>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鲜竹笋</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笋壳淡黄色，有光泽，笋体粗壮、充实、饱满，肉质洁白较嫩，水分多。</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茭白（去</w:t>
            </w:r>
            <w:r>
              <w:rPr>
                <w:rFonts w:hint="eastAsia" w:asciiTheme="minorEastAsia" w:hAnsiTheme="minorEastAsia" w:eastAsiaTheme="minorEastAsia" w:cstheme="minorEastAsia"/>
                <w:color w:val="000000"/>
                <w:sz w:val="22"/>
                <w:szCs w:val="22"/>
                <w:lang w:eastAsia="zh-CN"/>
              </w:rPr>
              <w:t>壳</w:t>
            </w:r>
            <w:r>
              <w:rPr>
                <w:rFonts w:hint="eastAsia" w:asciiTheme="minorEastAsia" w:hAnsiTheme="minorEastAsia" w:eastAsiaTheme="minorEastAsia" w:cstheme="minorEastAsia"/>
                <w:color w:val="000000"/>
                <w:sz w:val="22"/>
                <w:szCs w:val="22"/>
              </w:rPr>
              <w:t>）</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笋形粗壮，条直、均匀、叶绿色，茎皮光泽，绿或淡绿色，断面碧绿，无黑心。</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西芹</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叶茎宽厚，颜色深绿，新鲜肥嫩，无腐烂变质。</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莲白</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外叶淡绿色，内叶淡黄色，叶肥厚脆嫩，棵株大，完整，包心坚实紧密，根部断面洁白完整。</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小白菜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梗白色，较嫩较短，叶子淡绿色，整棵菜水份充足，无根。</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青笋</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绿心、中号(尾部4公分)、略长、无黄白。</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嫩豌豆（</w:t>
            </w:r>
            <w:r>
              <w:rPr>
                <w:rFonts w:hint="eastAsia" w:asciiTheme="minorEastAsia" w:hAnsiTheme="minorEastAsia" w:eastAsiaTheme="minorEastAsia" w:cstheme="minorEastAsia"/>
                <w:color w:val="000000"/>
                <w:sz w:val="22"/>
                <w:szCs w:val="22"/>
                <w:lang w:eastAsia="zh-CN"/>
              </w:rPr>
              <w:t>去壳</w:t>
            </w:r>
            <w:r>
              <w:rPr>
                <w:rFonts w:hint="eastAsia" w:asciiTheme="minorEastAsia" w:hAnsiTheme="minorEastAsia" w:eastAsiaTheme="minorEastAsia" w:cstheme="minorEastAsia"/>
                <w:color w:val="000000"/>
                <w:sz w:val="22"/>
                <w:szCs w:val="22"/>
              </w:rPr>
              <w:t>）</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新鲜、清秀。</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29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嫩玉米</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无腐烂变质、无异味。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瓢儿菜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中号，梗白色或浅绿色，较嫩，叶子深绿色，整棵菜水份充足，无根。</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大白菜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外叶淡绿色、奶黄色、帮白内叶乳白色，叶新鲜光泽，棵株大，完整，包心坚实紧密，根部断面洁白完整。</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芹菜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叶嫩绿或黄绿，茎、根部呈白色，茎细软，中间空、水份充足，有清香味，长约30厘米。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香菜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翠绿、挺直、根部无泥、香气重、水份充足。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西兰花</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花蕾颜色深绿、紧实不散，球形完整、表面有白霜，花梗深绿、紧凑，外叶绿色且少，主茎短。</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平菇</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中号，菌为洁白色或浅黑色，菌身完整、大小均匀，菌盖与柄、菌环相连未展开，根短。</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金针菇</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菌盖颜色乳白、菌柄淡黄色、根部淡褐色，菌身细短，挺直。</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鸡菇</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不能发霉、变质，中号。</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香菇</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中号厂菌盖颜色褐色、有光泽、菌耀为淡米色或乳白色，菌身完整无损，不湿，菌盖大、有弹性、柄短小，香味浓、重量轻。</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39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蘑菇</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豇豆</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大小均匀、挺直、细长、脆嫩、有光泽、折断为实心、无空心、无虫洞，颜色为浅绿色。</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空心卷</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叶薄小翠绿，有光泽，棵株挺直，梗细嫩脆、淡绿色易折断，棵株约15厘米。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地瓜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无腐烂、泥土。</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韭菜花</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新鲜、嫩。</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44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青豆</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颜色青绿单一、有光泽，豆粒大，均匀完整，较嫩。</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45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胡萝卜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颜色红色可橘黄色，表面光滑、条直匀称，粗壮、硬实不软、肉质甜脆、中心柱细小。</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4</w:t>
            </w:r>
            <w:r>
              <w:rPr>
                <w:rFonts w:hint="eastAsia" w:asciiTheme="minorEastAsia" w:hAnsiTheme="minorEastAsia" w:eastAsiaTheme="minorEastAsia" w:cstheme="minorEastAsia"/>
                <w:color w:val="000000"/>
                <w:sz w:val="22"/>
                <w:szCs w:val="22"/>
              </w:rPr>
              <w:t>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油菜尖</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无黄叶、无虫眼。</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4</w:t>
            </w:r>
            <w:r>
              <w:rPr>
                <w:rFonts w:hint="eastAsia" w:asciiTheme="minorEastAsia" w:hAnsiTheme="minorEastAsia" w:eastAsiaTheme="minorEastAsia" w:cstheme="minorEastAsia"/>
                <w:color w:val="000000"/>
                <w:sz w:val="22"/>
                <w:szCs w:val="22"/>
              </w:rPr>
              <w:t>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老南瓜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颜色金黄色或橙黄色，瓜形周正，肉金黄紧密、粉甜，表面硬实。</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4</w:t>
            </w:r>
            <w:r>
              <w:rPr>
                <w:rFonts w:hint="eastAsia" w:asciiTheme="minorEastAsia" w:hAnsiTheme="minorEastAsia" w:eastAsiaTheme="minorEastAsia" w:cstheme="minorEastAsia"/>
                <w:color w:val="000000"/>
                <w:sz w:val="22"/>
                <w:szCs w:val="22"/>
              </w:rPr>
              <w:t>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生菜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大莴，颜色鲜艳，淡绿，叶子水份充足，脆嫩薄、可竖起，棵株挺直。</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4</w:t>
            </w:r>
            <w:r>
              <w:rPr>
                <w:rFonts w:hint="eastAsia" w:asciiTheme="minorEastAsia" w:hAnsiTheme="minorEastAsia" w:eastAsiaTheme="minorEastAsia" w:cstheme="minorEastAsia"/>
                <w:color w:val="000000"/>
                <w:sz w:val="22"/>
                <w:szCs w:val="22"/>
              </w:rPr>
              <w:t>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白萝卜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颜色洁白光亮，表面光滑、细腻，形体完整、份量重，底部切面洁白，水分大，肉嫩脆、味甜适中。</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5</w:t>
            </w:r>
            <w:r>
              <w:rPr>
                <w:rFonts w:hint="eastAsia" w:asciiTheme="minorEastAsia" w:hAnsiTheme="minorEastAsia" w:eastAsiaTheme="minorEastAsia" w:cstheme="minorEastAsia"/>
                <w:color w:val="000000"/>
                <w:sz w:val="22"/>
                <w:szCs w:val="22"/>
              </w:rPr>
              <w:t>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玉米棒</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5</w:t>
            </w:r>
            <w:r>
              <w:rPr>
                <w:rFonts w:hint="eastAsia" w:asciiTheme="minorEastAsia" w:hAnsiTheme="minorEastAsia" w:eastAsiaTheme="minorEastAsia" w:cstheme="minorEastAsia"/>
                <w:color w:val="000000"/>
                <w:sz w:val="22"/>
                <w:szCs w:val="22"/>
              </w:rPr>
              <w:t>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山药</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呈原柱形，条均挺直，光滑圆润，两头平齐。内外均匀为白色。质坚实，粉性足9味淡。长15cm以上，直径2.3cm以上。</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5</w:t>
            </w:r>
            <w:r>
              <w:rPr>
                <w:rFonts w:hint="eastAsia" w:asciiTheme="minorEastAsia" w:hAnsiTheme="minorEastAsia" w:eastAsiaTheme="minorEastAsia" w:cstheme="minorEastAsia"/>
                <w:color w:val="000000"/>
                <w:sz w:val="22"/>
                <w:szCs w:val="22"/>
              </w:rPr>
              <w:t>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玉兰片</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5</w:t>
            </w:r>
            <w:r>
              <w:rPr>
                <w:rFonts w:hint="eastAsia" w:asciiTheme="minorEastAsia" w:hAnsiTheme="minorEastAsia" w:eastAsiaTheme="minorEastAsia" w:cstheme="minorEastAsia"/>
                <w:color w:val="000000"/>
                <w:sz w:val="22"/>
                <w:szCs w:val="22"/>
              </w:rPr>
              <w:t>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小米椒</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5</w:t>
            </w:r>
            <w:r>
              <w:rPr>
                <w:rFonts w:hint="eastAsia" w:asciiTheme="minorEastAsia" w:hAnsiTheme="minorEastAsia" w:eastAsiaTheme="minorEastAsia" w:cstheme="minorEastAsia"/>
                <w:color w:val="000000"/>
                <w:sz w:val="22"/>
                <w:szCs w:val="22"/>
              </w:rPr>
              <w:t>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红苕</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颜色粉红或淡黄色，依品种而定，个大形正，大小整齐，表面无伤，体硬不软、饱满。</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55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泡青菜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56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菠菜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57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红油菜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颜色碧绿，平嫩，叶子大、挺直，根桃红，无主茎且无柄无红色，棵株适当。</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58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碗豆尖</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梗短粗，呈淡绿色或白色，叶子厚肥大，主茎无花蕾，水份充足。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59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红苕尖</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叶子为淡红色，叶人薄软，有光泽，茎细短、光滑嫩脆，棵株挺直，水份充足。</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茶树菇</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新鲜、嫩、无黄叶、无虫眼。</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冬寒菜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折耳根 （无叶）</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菇形完整、周正、无残缺、菌柄无明显残缺、弯曲。</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杏鲍菇</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烧烤土豆</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块根呈球状，直径2－7.5厘米，表皮黄褐色，肉白色。</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香芋</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sz w:val="22"/>
                <w:szCs w:val="22"/>
              </w:rPr>
              <w:t>芋</w:t>
            </w:r>
            <w:r>
              <w:rPr>
                <w:rFonts w:hint="eastAsia" w:asciiTheme="minorEastAsia" w:hAnsiTheme="minorEastAsia" w:eastAsiaTheme="minorEastAsia" w:cstheme="minorEastAsia"/>
                <w:color w:val="000000"/>
                <w:sz w:val="22"/>
                <w:szCs w:val="22"/>
                <w:lang w:eastAsia="zh-CN"/>
              </w:rPr>
              <w:t>乃</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sz w:val="22"/>
                <w:szCs w:val="22"/>
              </w:rPr>
              <w:t>洗净、大小均匀、无疤眼。</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嫩胡豆</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折耳根（芽）</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69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丝瓜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皮颜色翠绿、薄嫩、有白霜，条直、细长挺直，易断无弹性，肉洁白软嫩、子小。</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菜心</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颜色碧绿、梗脆嫩，掐之易断，有花蕾或无花蕾，棵株挺直，水分充足。</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干木耳</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呈乌黑色，色泽均匀，卷曲紧缩，叶薄且无完整轮廓，坚挺、有韧劲，不易被捏碎，放入口中嚼时有浑厚鲜味感，较轻、松散，表面平滑，脆而易断。</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干香菇</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菇香浓，菇肉厚实，菇面平滑，大小均匀，色泽黄褐或黑褐，菇面稍带白霜，菇褶紧实细白，菇柄短而粗壮，干燥，不霉，不碎。</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干笋干</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呈黄白色或棕黄色，具有光泽，笋体，短粗，体态肥厚，笋节紧密，纹路浅细，质地嫩脆。</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干腐竹</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为枝条或片叶状，质脆易折，条状折断有空心，无霉斑、杂质、虫蛀。呈淡黄色，有光泽。具有腐竹固有的香味，无其他任何异味，取样品品尝其滋味，具有腐竹固有的鲜香滋味。</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豆腐</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呈均匀的乳白色或淡黄色，稍有光泽，块行完整，软硬适度，富有一定的弹性，质地细嫩，结构均匀，无杂质，具有豆腐特有的香味，取样品品尝时口感细腻鲜嫩，味道纯正清香。</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鸡蛋</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蛋壳清洁完整，色泽鲜明，无破损、裂纹，无霉斑，灯光透视时，整个蛋呈桔黄色至橙红色，蛋黄不见或略见阴影，没有霉味、酸味，臭味等不良气味，打开后蛋黄凸起、完整、有韧性，蛋白澄清、透明、稀稠分明，无异味。</w:t>
            </w:r>
          </w:p>
        </w:tc>
      </w:tr>
      <w:tr>
        <w:tblPrEx>
          <w:tblCellMar>
            <w:top w:w="0" w:type="dxa"/>
            <w:left w:w="108" w:type="dxa"/>
            <w:bottom w:w="0" w:type="dxa"/>
            <w:right w:w="108" w:type="dxa"/>
          </w:tblCellMar>
        </w:tblPrEx>
        <w:trPr>
          <w:trHeight w:val="21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77</w:t>
            </w:r>
          </w:p>
        </w:tc>
        <w:tc>
          <w:tcPr>
            <w:tcW w:w="1885" w:type="dxa"/>
            <w:tcBorders>
              <w:top w:val="single" w:color="auto" w:sz="6" w:space="0"/>
              <w:left w:val="single" w:color="auto" w:sz="6" w:space="0"/>
              <w:bottom w:val="single" w:color="auto" w:sz="6" w:space="0"/>
              <w:right w:val="single" w:color="auto" w:sz="6" w:space="0"/>
            </w:tcBorders>
            <w:vAlign w:val="center"/>
          </w:tcPr>
          <w:p>
            <w:pPr>
              <w:spacing w:line="288"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鹌鹑蛋</w:t>
            </w:r>
          </w:p>
        </w:tc>
        <w:tc>
          <w:tcPr>
            <w:tcW w:w="6623" w:type="dxa"/>
            <w:tcBorders>
              <w:top w:val="single" w:color="auto" w:sz="6" w:space="0"/>
              <w:left w:val="single" w:color="auto" w:sz="6" w:space="0"/>
              <w:bottom w:val="single" w:color="auto" w:sz="6" w:space="0"/>
              <w:right w:val="single" w:color="auto" w:sz="6" w:space="0"/>
            </w:tcBorders>
            <w:vAlign w:val="center"/>
          </w:tcPr>
          <w:p>
            <w:pPr>
              <w:spacing w:line="288"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蛋壳清洁完整，色泽鲜明，无破损、裂纹，无霉斑没有霉味、酸味，臭味等不良气味。</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白条鸡</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整鸡表皮光滑，新鲜肥嫩，有头颅，有腿翅，无内脏，规格从0.6—1.5公斤，鸡肉的眼球饱满或平坦，皮肤有光泽，在品种不同而呈黄、浅黄、淡红、灰白等色，鸡肉切面有光泽，外表外湿润，不粘手，解冻指压后的凹陷恢复慢。</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79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鸡腿</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表皮光滑，无淤血，交货以干净、新鲜、无异味，大小适合规格要求为标准。</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鸡翅</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肉质紧密，无污染，无小毛，个体大小均匀。</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鸡脚</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交货以干净、新鲜、无异味，大小合适规格要求为标准。</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白条鸭</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表皮光滑，新鲜肥嫩，无内脏，每只不低于1公斤，鸭的眼球饱满或平坦，皮肤有光泽，在品种不同而呈黄、浅黄、淡红、灰白等色，鸡肉切面有光泽，外表微湿润，不粘手，解冻指压后的凹陷恢复慢，具有鸭的正常气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鸭腿</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表皮光滑，无淤血，交货以干净、新鲜、无异味，大小适合规格要求为标准。</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白条鹅</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表皮光滑，新鲜肥嫩，无内脏，每只不低于1公斤，鹅的眼球饱满或平坦，皮肤有光泽，在品种不同而呈黄、浅黄、淡红、灰白等色，鸡肉切面有光泽，外表微湿润，不粘手，解冻指压后的凹陷恢复慢，具有鹅的正常气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带鱼</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每条不低于500克，鱼眼睛清亮，角膜透明，眼球略微隆起，鳍展平张开，鳞片上覆有冻结的透明粘液层，皮肤天然色泽明显。</w:t>
            </w:r>
          </w:p>
        </w:tc>
      </w:tr>
      <w:tr>
        <w:tblPrEx>
          <w:tblCellMar>
            <w:top w:w="0" w:type="dxa"/>
            <w:left w:w="108" w:type="dxa"/>
            <w:bottom w:w="0" w:type="dxa"/>
            <w:right w:w="108" w:type="dxa"/>
          </w:tblCellMar>
        </w:tblPrEx>
        <w:trPr>
          <w:trHeight w:val="93"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虾</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体形弯曲，体表干燥，颜色鲜亮，肉壳紧连，没有异味。</w:t>
            </w:r>
          </w:p>
        </w:tc>
      </w:tr>
      <w:tr>
        <w:tblPrEx>
          <w:tblCellMar>
            <w:top w:w="0" w:type="dxa"/>
            <w:left w:w="108" w:type="dxa"/>
            <w:bottom w:w="0" w:type="dxa"/>
            <w:right w:w="108" w:type="dxa"/>
          </w:tblCellMar>
        </w:tblPrEx>
        <w:trPr>
          <w:trHeight w:val="265"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河虾</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虾头尾完整，头尾紧密相连，虾身较挺，有一定的弯曲度。虾皮壳发亮，河虾呈青绿色，对虾呈青白色（雌虾）或蛋黄色（雄虾）。肉质坚实、细嫩，手触摸时感觉硬，有弹性。气味正常，无异味。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鳙鱼</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鱼头大而肥，肉质雪白细嫩，鱼鳃下边的肉呈透明的胶状，里面富含胶原蛋白。腮盖圆润饱满，尾翼部自然平滑不下垂。</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89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鸦片鱼</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鱼的身体是完整和匀称的。鱼鳞外观紧密、排列整齐;鱼身无白斑、无伤痕;鱼身形态正常，无变形。鱼的眼睛清亮通透、饱满外凸的。鱼的肉体紧实而有弹性的。用手指按一下鱼肉部分很紧、并且在放手之后按下的凹陷部位可以迅速回弹，鱼鳃是鲜红和无异味的。</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鲫鱼</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通体深黑，肉质较为疏松。眼鱼睛是凸的，眼球黑白分明，身体扁平、色泽偏白的。</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多宝鱼</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鱼眼睛的一侧（背面）呈青褐色，无眼的一侧（腹面）呈白色，饱满凸出、角膜透明清亮。鱼鳃丝呈鲜红色，黏液透明，具有海水鱼的咸腥味或淡水鱼的土腥味；鱼肉坚实有弹性，指压后凹陷立即消失，无异味。</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黑鱼</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鱼眼睛凸起，澄清并富有光泽，鳃盖紧闭，腮片呈鲜红色，没有粘液。鱼身体颜色较深。</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黄鳝</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颜色灰黄、摸起来较柔软，手抓时感觉鳝体硬朗，并有较大的挣逃力量。</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猪肉</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eastAsia="zh-CN"/>
              </w:rPr>
              <w:t>猪</w:t>
            </w:r>
            <w:r>
              <w:rPr>
                <w:rFonts w:hint="eastAsia" w:asciiTheme="minorEastAsia" w:hAnsiTheme="minorEastAsia" w:eastAsiaTheme="minorEastAsia" w:cstheme="minorEastAsia"/>
                <w:color w:val="000000"/>
                <w:sz w:val="22"/>
                <w:szCs w:val="22"/>
              </w:rPr>
              <w:t>肉瘦肉呈均匀的鲜红色或深红色、有光泽，脂肪呈乳白色或微黄色。具有</w:t>
            </w:r>
            <w:r>
              <w:rPr>
                <w:rFonts w:hint="eastAsia" w:asciiTheme="minorEastAsia" w:hAnsiTheme="minorEastAsia" w:eastAsiaTheme="minorEastAsia" w:cstheme="minorEastAsia"/>
                <w:color w:val="000000"/>
                <w:sz w:val="22"/>
                <w:szCs w:val="22"/>
                <w:lang w:eastAsia="zh-CN"/>
              </w:rPr>
              <w:t>猪</w:t>
            </w:r>
            <w:r>
              <w:rPr>
                <w:rFonts w:hint="eastAsia" w:asciiTheme="minorEastAsia" w:hAnsiTheme="minorEastAsia" w:eastAsiaTheme="minorEastAsia" w:cstheme="minorEastAsia"/>
                <w:color w:val="000000"/>
                <w:sz w:val="22"/>
                <w:szCs w:val="22"/>
              </w:rPr>
              <w:t>肉正常气味，无异味；</w:t>
            </w:r>
            <w:r>
              <w:rPr>
                <w:rFonts w:hint="eastAsia" w:asciiTheme="minorEastAsia" w:hAnsiTheme="minorEastAsia" w:eastAsiaTheme="minorEastAsia" w:cstheme="minorEastAsia"/>
                <w:sz w:val="22"/>
                <w:szCs w:val="22"/>
              </w:rPr>
              <w:t>必须是经过有关部门质检合格且在保质期以内，经检测部门检验合格并盖章。随货需提供相关合格证。</w:t>
            </w:r>
          </w:p>
        </w:tc>
      </w:tr>
      <w:tr>
        <w:tblPrEx>
          <w:tblCellMar>
            <w:top w:w="0" w:type="dxa"/>
            <w:left w:w="108" w:type="dxa"/>
            <w:bottom w:w="0" w:type="dxa"/>
            <w:right w:w="108" w:type="dxa"/>
          </w:tblCellMar>
        </w:tblPrEx>
        <w:trPr>
          <w:trHeight w:val="351"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ind w:firstLine="220" w:firstLineChars="100"/>
              <w:jc w:val="both"/>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牛肉</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牛肉瘦肉呈均匀的鲜红色或深红色、有光泽，脂肪呈乳白色或微黄色。具有牛肉正常气味，无异味；瘦肉切面纹理清晰，皮下脂肪适度、均匀、形态丰满；肉质紧密、有弹性、表面湿润、不黏手、无注水。（牛腩：色泽新鲜、无杂质、无异味、无注水。）</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白条羊</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每条不低于10公斤，去头、去蹄、去内脏，解冻后的肌肉呈均匀的红色，有光泽，脂肪呈白色或微黄色。肌肉外表不黏手，肉质紧密。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刀切馒头</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花卷</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99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肉包子</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菜包子</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饺子</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粽子</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103</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发糕</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104</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粥</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105</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苹果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106</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香蕉</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107</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西瓜</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108</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梨</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109</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桔子</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110</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柚子</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111</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葡萄</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179" w:hRule="atLeast"/>
          <w:jc w:val="center"/>
        </w:trPr>
        <w:tc>
          <w:tcPr>
            <w:tcW w:w="9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val="en-US" w:eastAsia="zh-CN"/>
              </w:rPr>
            </w:pPr>
            <w:r>
              <w:rPr>
                <w:rFonts w:hint="eastAsia" w:asciiTheme="minorEastAsia" w:hAnsiTheme="minorEastAsia" w:eastAsiaTheme="minorEastAsia" w:cstheme="minorEastAsia"/>
                <w:color w:val="000000"/>
                <w:sz w:val="22"/>
                <w:szCs w:val="22"/>
                <w:lang w:val="en-US" w:eastAsia="zh-CN"/>
              </w:rPr>
              <w:t>112</w:t>
            </w:r>
          </w:p>
        </w:tc>
        <w:tc>
          <w:tcPr>
            <w:tcW w:w="188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color w:val="000000"/>
                <w:sz w:val="22"/>
                <w:szCs w:val="22"/>
                <w:lang w:eastAsia="zh-CN"/>
              </w:rPr>
              <w:t>冬枣</w:t>
            </w:r>
          </w:p>
        </w:tc>
        <w:tc>
          <w:tcPr>
            <w:tcW w:w="6623" w:type="dxa"/>
            <w:tcBorders>
              <w:top w:val="single" w:color="auto" w:sz="6" w:space="0"/>
              <w:left w:val="single" w:color="auto" w:sz="6" w:space="0"/>
              <w:bottom w:val="single" w:color="auto" w:sz="6" w:space="0"/>
              <w:right w:val="single" w:color="auto" w:sz="6"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以实际市场定价购买样品为标准。</w:t>
            </w:r>
          </w:p>
        </w:tc>
      </w:tr>
      <w:tr>
        <w:tblPrEx>
          <w:tblCellMar>
            <w:top w:w="0" w:type="dxa"/>
            <w:left w:w="108" w:type="dxa"/>
            <w:bottom w:w="0" w:type="dxa"/>
            <w:right w:w="108" w:type="dxa"/>
          </w:tblCellMar>
        </w:tblPrEx>
        <w:trPr>
          <w:trHeight w:val="357" w:hRule="atLeast"/>
          <w:jc w:val="center"/>
        </w:trPr>
        <w:tc>
          <w:tcPr>
            <w:tcW w:w="9460" w:type="dxa"/>
            <w:gridSpan w:val="3"/>
            <w:tcBorders>
              <w:top w:val="single" w:color="auto" w:sz="6" w:space="0"/>
              <w:left w:val="single" w:color="auto" w:sz="6" w:space="0"/>
              <w:bottom w:val="single" w:color="auto" w:sz="6" w:space="0"/>
              <w:right w:val="single" w:color="auto" w:sz="4" w:space="0"/>
            </w:tcBorders>
            <w:vAlign w:val="center"/>
          </w:tcPr>
          <w:p>
            <w:pP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备注：1、因蔬菜各品种单个数量多的特殊性，蔬菜质量的评定不以每批次中级个别产品来进行评定，以各品种的综合质量进行评定。塘鱼类的鱼体健康，体态匀称，游动活泼，体色鲜明，体表光滑，眼睛亮丽，鳞片鳍条完好。</w:t>
            </w:r>
          </w:p>
          <w:p>
            <w:pPr>
              <w:ind w:firstLine="660" w:firstLineChars="300"/>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r>
              <w:rPr>
                <w:rFonts w:hint="eastAsia" w:asciiTheme="minorEastAsia" w:hAnsiTheme="minorEastAsia" w:eastAsiaTheme="minorEastAsia" w:cstheme="minorEastAsia"/>
                <w:b/>
                <w:bCs/>
                <w:color w:val="000000"/>
                <w:sz w:val="22"/>
                <w:szCs w:val="22"/>
                <w:highlight w:val="none"/>
              </w:rPr>
              <w:t>以上所列品种并非所有供货品种，未列品种的质量要求必须满足采购人的要求</w:t>
            </w:r>
            <w:r>
              <w:rPr>
                <w:rFonts w:hint="eastAsia" w:asciiTheme="minorEastAsia" w:hAnsiTheme="minorEastAsia" w:eastAsiaTheme="minorEastAsia" w:cstheme="minorEastAsia"/>
                <w:color w:val="000000"/>
                <w:sz w:val="22"/>
                <w:szCs w:val="22"/>
                <w:highlight w:val="none"/>
              </w:rPr>
              <w:t>。</w:t>
            </w:r>
          </w:p>
        </w:tc>
      </w:tr>
    </w:tbl>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bookmarkStart w:id="3" w:name="_Toc28599"/>
      <w:r>
        <w:rPr>
          <w:rFonts w:hint="eastAsia" w:asciiTheme="minorEastAsia" w:hAnsiTheme="minorEastAsia" w:eastAsiaTheme="minorEastAsia" w:cstheme="minorEastAsia"/>
          <w:sz w:val="22"/>
          <w:szCs w:val="22"/>
        </w:rPr>
        <w:t>三、结算方式</w:t>
      </w:r>
      <w:bookmarkEnd w:id="3"/>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在中标人正常供货的情况下，在供货期间，合同签订后采购人按实际购买的食堂食材数量计算货款，原则上按一个月结算一次（先供货后结算，节假日顺延）中标人与采购人核对当月账务并将双方确认的销售发票递交采购人，采购人根据中标人提供的发票后以转账的方式支付给中标人。</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bookmarkStart w:id="4" w:name="_Toc11042"/>
      <w:r>
        <w:rPr>
          <w:rFonts w:hint="eastAsia" w:asciiTheme="minorEastAsia" w:hAnsiTheme="minorEastAsia" w:eastAsiaTheme="minorEastAsia" w:cstheme="minorEastAsia"/>
          <w:sz w:val="22"/>
          <w:szCs w:val="22"/>
        </w:rPr>
        <w:t>四、供应物品的报价</w:t>
      </w:r>
      <w:bookmarkEnd w:id="4"/>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1.投标报价的确定：</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sz w:val="22"/>
          <w:szCs w:val="22"/>
          <w:highlight w:val="none"/>
          <w:lang w:eastAsia="zh-CN"/>
        </w:rPr>
        <w:t>本项目报结算率，所报果蔬类、肉类、禽类、水产类及米、油、调味品类的结算率均不得高于9</w:t>
      </w:r>
      <w:r>
        <w:rPr>
          <w:rFonts w:hint="eastAsia" w:asciiTheme="minorEastAsia" w:hAnsiTheme="minorEastAsia" w:eastAsiaTheme="minorEastAsia" w:cstheme="minorEastAsia"/>
          <w:sz w:val="22"/>
          <w:szCs w:val="22"/>
          <w:highlight w:val="none"/>
          <w:lang w:val="en-US" w:eastAsia="zh-CN"/>
        </w:rPr>
        <w:t>5</w:t>
      </w:r>
      <w:r>
        <w:rPr>
          <w:rFonts w:hint="eastAsia" w:asciiTheme="minorEastAsia" w:hAnsiTheme="minorEastAsia" w:eastAsiaTheme="minorEastAsia" w:cstheme="minorEastAsia"/>
          <w:sz w:val="22"/>
          <w:szCs w:val="22"/>
          <w:highlight w:val="none"/>
          <w:lang w:eastAsia="zh-CN"/>
        </w:rPr>
        <w:t>%，否</w:t>
      </w:r>
      <w:r>
        <w:rPr>
          <w:rFonts w:hint="eastAsia" w:asciiTheme="minorEastAsia" w:hAnsiTheme="minorEastAsia" w:eastAsiaTheme="minorEastAsia" w:cstheme="minorEastAsia"/>
          <w:sz w:val="22"/>
          <w:szCs w:val="22"/>
          <w:lang w:eastAsia="zh-CN"/>
        </w:rPr>
        <w:t>则作无效标处理。</w:t>
      </w:r>
      <w:r>
        <w:rPr>
          <w:rFonts w:hint="eastAsia" w:asciiTheme="minorEastAsia" w:hAnsiTheme="minorEastAsia" w:eastAsiaTheme="minorEastAsia" w:cstheme="minorEastAsia"/>
          <w:sz w:val="22"/>
          <w:szCs w:val="22"/>
          <w:highlight w:val="none"/>
          <w:lang w:eastAsia="zh-CN"/>
        </w:rPr>
        <w:t>建议投标人在合理区间报价，确保食材质量。</w:t>
      </w:r>
      <w:r>
        <w:rPr>
          <w:rFonts w:hint="eastAsia" w:asciiTheme="minorEastAsia" w:hAnsiTheme="minorEastAsia" w:eastAsiaTheme="minorEastAsia" w:cstheme="minorEastAsia"/>
          <w:sz w:val="22"/>
          <w:szCs w:val="22"/>
          <w:lang w:eastAsia="zh-CN"/>
        </w:rPr>
        <w:t>在服务期限内中标结算率报价为固定不变,无论市场价格怎么变化,双方都不得以任何理由单方面进行变更。报价应包含中标人提供货物价款、人员的劳务(劳动、社会、医疗、安全)、仓储费、装卸车费、途中运输费、途中损耗费、检测、验收费、保险费、税金等所有费用。如有漏项,视同已包含在其总价中合同总价不予调整。</w:t>
      </w:r>
      <w:r>
        <w:rPr>
          <w:rFonts w:hint="eastAsia" w:asciiTheme="minorEastAsia" w:hAnsiTheme="minorEastAsia" w:eastAsiaTheme="minorEastAsia" w:cstheme="minorEastAsia"/>
          <w:sz w:val="22"/>
          <w:szCs w:val="22"/>
        </w:rPr>
        <w:t>(劳动、社会、医疗、安全)、仓储费、装卸车费、途中运输费、途中损耗费、检测、验收费、保险费、税金等所有费用。</w:t>
      </w:r>
      <w:r>
        <w:rPr>
          <w:rFonts w:hint="eastAsia" w:asciiTheme="minorEastAsia" w:hAnsiTheme="minorEastAsia" w:eastAsiaTheme="minorEastAsia" w:cstheme="minorEastAsia"/>
          <w:b/>
          <w:bCs/>
          <w:sz w:val="22"/>
          <w:szCs w:val="22"/>
        </w:rPr>
        <w:t>如有漏项,视同已包含在其总价中合同总价不予调整。</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2．定价原则：</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bookmarkStart w:id="5" w:name="_Toc6657"/>
      <w:r>
        <w:rPr>
          <w:rFonts w:hint="eastAsia" w:asciiTheme="minorEastAsia" w:hAnsiTheme="minorEastAsia" w:eastAsiaTheme="minorEastAsia" w:cstheme="minorEastAsia"/>
          <w:sz w:val="22"/>
          <w:szCs w:val="22"/>
          <w:lang w:val="en-US" w:eastAsia="zh-CN"/>
        </w:rPr>
        <w:t>价格确定方式按以下顺序依次进行，取到即止。</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①以衢农官网公示的价格</w:t>
      </w:r>
      <w:r>
        <w:rPr>
          <w:rFonts w:hint="eastAsia" w:asciiTheme="minorEastAsia" w:hAnsiTheme="minorEastAsia" w:eastAsiaTheme="minorEastAsia" w:cstheme="minorEastAsia"/>
          <w:sz w:val="22"/>
          <w:szCs w:val="22"/>
        </w:rPr>
        <w:t>作为</w:t>
      </w:r>
      <w:r>
        <w:rPr>
          <w:rFonts w:hint="eastAsia" w:asciiTheme="minorEastAsia" w:hAnsiTheme="minorEastAsia" w:eastAsiaTheme="minorEastAsia" w:cstheme="minorEastAsia"/>
          <w:sz w:val="22"/>
          <w:szCs w:val="22"/>
          <w:lang w:eastAsia="zh-CN"/>
        </w:rPr>
        <w:t>结算</w:t>
      </w:r>
      <w:r>
        <w:rPr>
          <w:rFonts w:hint="eastAsia" w:asciiTheme="minorEastAsia" w:hAnsiTheme="minorEastAsia" w:eastAsiaTheme="minorEastAsia" w:cstheme="minorEastAsia"/>
          <w:sz w:val="22"/>
          <w:szCs w:val="22"/>
        </w:rPr>
        <w:t>基准价。</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highlight w:val="none"/>
          <w:lang w:val="en-US" w:eastAsia="zh-CN"/>
        </w:rPr>
        <w:t xml:space="preserve">②以上无价格信息的，则由采购方的司务人员从书院菜市场（或斗潭菜市场）和南湖菜市场（或荷花菜市场）或衢州市区大型超市（大润发、东方、永辉）中任选两家零售价的平均价作为结算基准价； </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highlight w:val="none"/>
          <w:lang w:val="en-US" w:eastAsia="zh-CN"/>
        </w:rPr>
      </w:pPr>
      <w:r>
        <w:rPr>
          <w:rFonts w:hint="eastAsia" w:asciiTheme="minorEastAsia" w:hAnsiTheme="minorEastAsia" w:eastAsiaTheme="minorEastAsia" w:cstheme="minorEastAsia"/>
          <w:sz w:val="22"/>
          <w:szCs w:val="22"/>
          <w:highlight w:val="none"/>
          <w:lang w:val="en-US" w:eastAsia="zh-CN"/>
        </w:rPr>
        <w:t>实际结算价=结算基准价×中标人报价费率。</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（结算基准价、结算价采用四舍五入，小数点后保留两位。）</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五、货物的质量要求</w:t>
      </w:r>
      <w:bookmarkEnd w:id="5"/>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1.中标人向采购人提供的商品质量必须符合《食品安全法》和国家有关食品卫生法规标准。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2.大米必须符合GB1354-86标准，并拥有“S</w:t>
      </w:r>
      <w:r>
        <w:rPr>
          <w:rFonts w:hint="eastAsia" w:asciiTheme="minorEastAsia" w:hAnsiTheme="minorEastAsia" w:eastAsiaTheme="minorEastAsia" w:cstheme="minorEastAsia"/>
          <w:sz w:val="22"/>
          <w:szCs w:val="22"/>
          <w:lang w:val="en-US" w:eastAsia="zh-CN"/>
        </w:rPr>
        <w:t>C</w:t>
      </w:r>
      <w:r>
        <w:rPr>
          <w:rFonts w:hint="eastAsia" w:asciiTheme="minorEastAsia" w:hAnsiTheme="minorEastAsia" w:eastAsiaTheme="minorEastAsia" w:cstheme="minorEastAsia"/>
          <w:sz w:val="22"/>
          <w:szCs w:val="22"/>
        </w:rPr>
        <w:t>“食品质量安全认证。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3.食用油必须符合国家规定的相关标准（例如大豆油必须符合GB1535-2003标准），并拥有“S</w:t>
      </w:r>
      <w:r>
        <w:rPr>
          <w:rFonts w:hint="eastAsia" w:asciiTheme="minorEastAsia" w:hAnsiTheme="minorEastAsia" w:eastAsiaTheme="minorEastAsia" w:cstheme="minorEastAsia"/>
          <w:sz w:val="22"/>
          <w:szCs w:val="22"/>
          <w:lang w:val="en-US" w:eastAsia="zh-CN"/>
        </w:rPr>
        <w:t>C</w:t>
      </w:r>
      <w:r>
        <w:rPr>
          <w:rFonts w:hint="eastAsia" w:asciiTheme="minorEastAsia" w:hAnsiTheme="minorEastAsia" w:eastAsiaTheme="minorEastAsia" w:cstheme="minorEastAsia"/>
          <w:sz w:val="22"/>
          <w:szCs w:val="22"/>
        </w:rPr>
        <w:t>“食品质量安全认证。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4.面粉必须符合GB1355-86标准，并拥有“S</w:t>
      </w:r>
      <w:r>
        <w:rPr>
          <w:rFonts w:hint="eastAsia" w:asciiTheme="minorEastAsia" w:hAnsiTheme="minorEastAsia" w:eastAsiaTheme="minorEastAsia" w:cstheme="minorEastAsia"/>
          <w:sz w:val="22"/>
          <w:szCs w:val="22"/>
          <w:lang w:val="en-US" w:eastAsia="zh-CN"/>
        </w:rPr>
        <w:t>C</w:t>
      </w:r>
      <w:r>
        <w:rPr>
          <w:rFonts w:hint="eastAsia" w:asciiTheme="minorEastAsia" w:hAnsiTheme="minorEastAsia" w:eastAsiaTheme="minorEastAsia" w:cstheme="minorEastAsia"/>
          <w:sz w:val="22"/>
          <w:szCs w:val="22"/>
        </w:rPr>
        <w:t>“食品质量安全认证。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5.糖、味精、酱油、醋、生粉等调料必须具有“S</w:t>
      </w:r>
      <w:r>
        <w:rPr>
          <w:rFonts w:hint="eastAsia" w:asciiTheme="minorEastAsia" w:hAnsiTheme="minorEastAsia" w:eastAsiaTheme="minorEastAsia" w:cstheme="minorEastAsia"/>
          <w:sz w:val="22"/>
          <w:szCs w:val="22"/>
          <w:lang w:val="en-US" w:eastAsia="zh-CN"/>
        </w:rPr>
        <w:t>C</w:t>
      </w:r>
      <w:r>
        <w:rPr>
          <w:rFonts w:hint="eastAsia" w:asciiTheme="minorEastAsia" w:hAnsiTheme="minorEastAsia" w:eastAsiaTheme="minorEastAsia" w:cstheme="minorEastAsia"/>
          <w:sz w:val="22"/>
          <w:szCs w:val="22"/>
        </w:rPr>
        <w:t>“食品质量认证标志。</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6.豆制品、半成品及冻品必须具有“S</w:t>
      </w:r>
      <w:r>
        <w:rPr>
          <w:rFonts w:hint="eastAsia" w:asciiTheme="minorEastAsia" w:hAnsiTheme="minorEastAsia" w:eastAsiaTheme="minorEastAsia" w:cstheme="minorEastAsia"/>
          <w:sz w:val="22"/>
          <w:szCs w:val="22"/>
          <w:lang w:val="en-US" w:eastAsia="zh-CN"/>
        </w:rPr>
        <w:t>C</w:t>
      </w:r>
      <w:r>
        <w:rPr>
          <w:rFonts w:hint="eastAsia" w:asciiTheme="minorEastAsia" w:hAnsiTheme="minorEastAsia" w:eastAsiaTheme="minorEastAsia" w:cstheme="minorEastAsia"/>
          <w:sz w:val="22"/>
          <w:szCs w:val="22"/>
        </w:rPr>
        <w:t>”食品质量安全认证。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7.禽蛋、蔬菜、水产、水果必须保证新鲜，且符合食品卫生安全法要求，蔬菜类必须有农药监测报告</w:t>
      </w:r>
      <w:r>
        <w:rPr>
          <w:rFonts w:hint="eastAsia" w:asciiTheme="minorEastAsia" w:hAnsiTheme="minorEastAsia" w:eastAsiaTheme="minorEastAsia" w:cstheme="minorEastAsia"/>
          <w:sz w:val="22"/>
          <w:szCs w:val="22"/>
          <w:lang w:eastAsia="zh-CN"/>
        </w:rPr>
        <w:t>，农药残留须符合《食品安全国家标准</w:t>
      </w:r>
      <w:r>
        <w:rPr>
          <w:rFonts w:hint="eastAsia" w:asciiTheme="minorEastAsia" w:hAnsiTheme="minorEastAsia" w:eastAsiaTheme="minorEastAsia" w:cstheme="minorEastAsia"/>
          <w:sz w:val="22"/>
          <w:szCs w:val="22"/>
          <w:lang w:val="en-US" w:eastAsia="zh-CN"/>
        </w:rPr>
        <w:t xml:space="preserve"> 食品中农药最大残留限量》（GB2763）的规定</w:t>
      </w:r>
      <w:r>
        <w:rPr>
          <w:rFonts w:hint="eastAsia" w:asciiTheme="minorEastAsia" w:hAnsiTheme="minorEastAsia" w:eastAsiaTheme="minorEastAsia" w:cstheme="minorEastAsia"/>
          <w:sz w:val="22"/>
          <w:szCs w:val="22"/>
        </w:rPr>
        <w:t>。</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8.肉制品类必须是经过有关部门质检合格且在保质期以内，经检测部门检验合格并盖章。随货需提供相关合格证。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9.成品包装的货物须注有产品名称、制造厂名、厂址、净重、生产许可证号、批号、生产日期、保质期、执行标准号及规格等，包装应完好、无损坏、无挤压，符合国家有关产品质量法规要求。</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10.散装产品严禁冷热混存，以免发生产品变质；不能掺杂使假，应表里如一，应符合散装产品的相关卫生及质量要求；鲜活产品保证新鲜、无泥污，规格符合甲方要求，对药性、肥气未脱的蔬菜严禁供给甲方。</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11.冷冻品要求干冻，要有“S</w:t>
      </w:r>
      <w:r>
        <w:rPr>
          <w:rFonts w:hint="eastAsia" w:asciiTheme="minorEastAsia" w:hAnsiTheme="minorEastAsia" w:eastAsiaTheme="minorEastAsia" w:cstheme="minorEastAsia"/>
          <w:sz w:val="22"/>
          <w:szCs w:val="22"/>
          <w:lang w:val="en-US" w:eastAsia="zh-CN"/>
        </w:rPr>
        <w:t>C</w:t>
      </w:r>
      <w:r>
        <w:rPr>
          <w:rFonts w:hint="eastAsia" w:asciiTheme="minorEastAsia" w:hAnsiTheme="minorEastAsia" w:eastAsiaTheme="minorEastAsia" w:cstheme="minorEastAsia"/>
          <w:sz w:val="22"/>
          <w:szCs w:val="22"/>
        </w:rPr>
        <w:t>”标识，有检验检疫合格证或水（海）产合格证。必须是无酸变、无腐烂、质优、无污染、无变质，符合食品卫生要求的产品。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12.中标人不得提供以下产品：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 腐败变质、油脂酸败、霉变、生虫、污秽不洁、混有异物或者其他感官性状异常、含有毒有害物质或者被有害物质污染，可能对人体健康有害的产品；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(2)含有致病性寄生虫，微生物或者微生物含量超过国家限定标准的；</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(3)未经动物检疫部门检疫，检验或者检疫不合格的肉类及其制品；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(4)病死、毒死或者死因不明的禽、畜、兽、水产动物及其制品；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(5)掺假、掺杂、伪造，影响营养、卫生的；</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(6)用非食品原料加工的，加入非食品用化学物质或者将非食品当作食品的；</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(7)超过质保期限或不符合食品标签规定的定型包装食品。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13.中标人所供货物不得缺斤短两，发现一次扣除10%的履约保证金，超过3次，取消供货资格并扣罚全部履约保证金。</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bookmarkStart w:id="6" w:name="_Toc26482"/>
      <w:r>
        <w:rPr>
          <w:rFonts w:hint="eastAsia" w:asciiTheme="minorEastAsia" w:hAnsiTheme="minorEastAsia" w:eastAsiaTheme="minorEastAsia" w:cstheme="minorEastAsia"/>
          <w:sz w:val="22"/>
          <w:szCs w:val="22"/>
        </w:rPr>
        <w:t>六、配送及验收要求</w:t>
      </w:r>
      <w:bookmarkEnd w:id="6"/>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1．采购人提前1天将次日采购清单以书面形式或者电话通知中标人,中标人收到订货通知后,须在采购人要求的时间节点前完成供货。</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2.个别品种因缺货而无法提供的,中标人应在接到订单当日内及时告知采购人并协商好解决方法。</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3.采购人临时急需中标人供货,中标人应按要求在30分钟内作出响应并配送到位。</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4.残次品的替换须在接到替换通知后30分钟内送达。</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5.送货车辆须使用专用封闭式保鲜(冷藏)车辆进行配送,禁止有毒有害有异味的物品混装,送货时不得有污染事故发生。配送车辆应符合相关卫生要求,并定期对车辆进行清洁消毒。</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6.中标人将订单内所需产品送到采购人指定地点后,双方就产品的品种、质量、数量、价格进行确认后填写交货清单,经验收合格后完成交付。</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7.所有品种按除盛装器具净重过磅,重量以双方核准的净重过磅数为准双方签字确认作为结算凭证。</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8.配送人员应具备有效的健康合格证明,配送人员更换须事先征得采购人审查同意并提供健康体检证复印件备案。</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9.中标人应按国家质量卫生标准供给采购人所需的蔬菜，采购人对送达的蔬菜当场进行抽查、验收。</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10.对于部分蔬菜类配送须按采购人要求进行去皮、无污泥等净菜处理。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bookmarkStart w:id="7" w:name="_Toc30884"/>
      <w:r>
        <w:rPr>
          <w:rFonts w:hint="eastAsia" w:asciiTheme="minorEastAsia" w:hAnsiTheme="minorEastAsia" w:eastAsiaTheme="minorEastAsia" w:cstheme="minorEastAsia"/>
          <w:sz w:val="22"/>
          <w:szCs w:val="22"/>
          <w:lang w:val="en-US" w:eastAsia="zh-CN"/>
        </w:rPr>
        <w:t>七、其他要求</w:t>
      </w:r>
      <w:bookmarkEnd w:id="7"/>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1.中标人不得超越甲方要求范围以外供货，不得搞商品搭售；</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2.中标人不得开具虚假税务发票；</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3.中标人不得向采购单位的工作人员馈赠任何物品、现金等；</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4.中标人应积极配合采购人做好食堂食材类定点供应的采购、验收、退还等工作；</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5.不论以何种形式进行供货，中标人都必须按照其在投标文件中做出的服务承诺履行相关义务；</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6.物品具体需求量及品种以实际供应前一天采购人通知的为准。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7.食材配送由中标人向采购人提供商品（采购人如有临时安排供货的，中标人不得无故抬价。），所报价格不得高于当日的结算基准价，采购人将组织有关人员到市场对产品价格进行核实，发现中标人所报货物存在虚报价格</w:t>
      </w:r>
      <w:r>
        <w:rPr>
          <w:rFonts w:hint="eastAsia" w:asciiTheme="minorEastAsia" w:hAnsiTheme="minorEastAsia" w:eastAsiaTheme="minorEastAsia" w:cstheme="minorEastAsia"/>
          <w:sz w:val="22"/>
          <w:szCs w:val="22"/>
        </w:rPr>
        <w:t>的，按违约条款处理。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8.当日食材配送时需提供当日配送食材价格来源报表，所提供的食材价格来源报表必须属实，不能弄虚作假，发现中标人所提供的食材价格来源报表弄虚作假的，按违约条款处理。</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bookmarkStart w:id="8" w:name="_Toc16750"/>
      <w:r>
        <w:rPr>
          <w:rFonts w:hint="eastAsia" w:asciiTheme="minorEastAsia" w:hAnsiTheme="minorEastAsia" w:eastAsiaTheme="minorEastAsia" w:cstheme="minorEastAsia"/>
          <w:sz w:val="22"/>
          <w:szCs w:val="22"/>
        </w:rPr>
        <w:t>八、安全责任</w:t>
      </w:r>
      <w:bookmarkEnd w:id="8"/>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中标人对所提供商品的安全质量负责，并承担因质量问题的引起的一切法律责任以及赔偿责任。</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九、考核办法</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①考核时间：</w:t>
      </w:r>
      <w:r>
        <w:rPr>
          <w:rFonts w:hint="eastAsia" w:asciiTheme="minorEastAsia" w:hAnsiTheme="minorEastAsia" w:eastAsiaTheme="minorEastAsia" w:cstheme="minorEastAsia"/>
          <w:sz w:val="22"/>
          <w:szCs w:val="22"/>
          <w:lang w:val="en-US" w:eastAsia="zh-CN"/>
        </w:rPr>
        <w:t>食材送达现场考评</w:t>
      </w:r>
      <w:r>
        <w:rPr>
          <w:rFonts w:hint="eastAsia" w:asciiTheme="minorEastAsia" w:hAnsiTheme="minorEastAsia" w:eastAsiaTheme="minorEastAsia" w:cstheme="minorEastAsia"/>
          <w:sz w:val="22"/>
          <w:szCs w:val="22"/>
        </w:rPr>
        <w:t>。</w:t>
      </w:r>
    </w:p>
    <w:p>
      <w:pPr>
        <w:keepNext w:val="0"/>
        <w:keepLines w:val="0"/>
        <w:pageBreakBefore w:val="0"/>
        <w:widowControl/>
        <w:kinsoku/>
        <w:wordWrap/>
        <w:overflowPunct/>
        <w:topLinePunct w:val="0"/>
        <w:autoSpaceDE/>
        <w:autoSpaceDN/>
        <w:bidi w:val="0"/>
        <w:adjustRightInd w:val="0"/>
        <w:snapToGrid w:val="0"/>
        <w:spacing w:after="0" w:line="440" w:lineRule="exact"/>
        <w:ind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②考核细</w:t>
      </w:r>
      <w:r>
        <w:rPr>
          <w:rFonts w:hint="eastAsia" w:asciiTheme="minorEastAsia" w:hAnsiTheme="minorEastAsia" w:eastAsiaTheme="minorEastAsia" w:cstheme="minorEastAsia"/>
          <w:sz w:val="22"/>
          <w:szCs w:val="22"/>
          <w:lang w:val="en-US" w:eastAsia="zh-CN"/>
        </w:rPr>
        <w:t>则：根据中标人当日送达的每个菜品质量分别进行考评，考评标准分为：好、一般、差三档。月底进行总结，差评占比10%或一般占比20%或差与一般合计占比15%则当月考核不合格，连续两个月考核不合格的，罚没其履约保证金，并解除合同。</w:t>
      </w:r>
    </w:p>
    <w:p>
      <w:pPr>
        <w:jc w:val="center"/>
        <w:rPr>
          <w:rFonts w:hint="eastAsia" w:ascii="方正小标宋_GBK" w:eastAsia="方正小标宋_GBK"/>
          <w:sz w:val="44"/>
          <w:szCs w:val="44"/>
        </w:rPr>
      </w:pPr>
      <w:r>
        <w:rPr>
          <w:rFonts w:hint="eastAsia" w:ascii="方正小标宋_GBK" w:eastAsia="方正小标宋_GBK"/>
          <w:sz w:val="44"/>
          <w:szCs w:val="44"/>
        </w:rPr>
        <w:t>验 菜 单</w:t>
      </w:r>
    </w:p>
    <w:p>
      <w:pPr>
        <w:jc w:val="center"/>
        <w:rPr>
          <w:rFonts w:hint="eastAsia" w:ascii="仿宋_GB2312" w:hAnsi="仿宋_GB2312" w:eastAsia="仿宋_GB2312" w:cs="仿宋_GB2312"/>
          <w:i w:val="0"/>
          <w:iCs w:val="0"/>
          <w:sz w:val="32"/>
          <w:szCs w:val="32"/>
          <w:u w:val="single"/>
          <w:lang w:val="en-US" w:eastAsia="zh-CN"/>
        </w:rPr>
      </w:pP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i w:val="0"/>
          <w:iCs w:val="0"/>
          <w:sz w:val="32"/>
          <w:szCs w:val="32"/>
          <w:u w:val="none"/>
          <w:lang w:val="en-US" w:eastAsia="zh-CN"/>
        </w:rPr>
        <w:t>日</w:t>
      </w:r>
    </w:p>
    <w:tbl>
      <w:tblPr>
        <w:tblStyle w:val="5"/>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1418"/>
        <w:gridCol w:w="751"/>
        <w:gridCol w:w="751"/>
        <w:gridCol w:w="751"/>
        <w:gridCol w:w="754"/>
        <w:gridCol w:w="972"/>
        <w:gridCol w:w="1143"/>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14" w:type="dxa"/>
            <w:vMerge w:val="restart"/>
            <w:vAlign w:val="center"/>
          </w:tcPr>
          <w:p>
            <w:pPr>
              <w:jc w:val="center"/>
              <w:rPr>
                <w:rFonts w:hint="eastAsia" w:ascii="仿宋_GB2312" w:eastAsia="仿宋_GB2312"/>
                <w:sz w:val="28"/>
                <w:szCs w:val="28"/>
              </w:rPr>
            </w:pPr>
            <w:r>
              <w:rPr>
                <w:rFonts w:hint="eastAsia" w:ascii="仿宋_GB2312" w:eastAsia="仿宋_GB2312"/>
                <w:sz w:val="28"/>
                <w:szCs w:val="28"/>
              </w:rPr>
              <w:t>序号</w:t>
            </w:r>
          </w:p>
        </w:tc>
        <w:tc>
          <w:tcPr>
            <w:tcW w:w="1418" w:type="dxa"/>
            <w:vMerge w:val="restart"/>
            <w:vAlign w:val="center"/>
          </w:tcPr>
          <w:p>
            <w:pPr>
              <w:jc w:val="center"/>
              <w:rPr>
                <w:rFonts w:hint="eastAsia" w:ascii="仿宋_GB2312" w:eastAsia="仿宋_GB2312"/>
                <w:sz w:val="28"/>
                <w:szCs w:val="28"/>
              </w:rPr>
            </w:pPr>
            <w:r>
              <w:rPr>
                <w:rFonts w:hint="eastAsia" w:ascii="仿宋_GB2312" w:eastAsia="仿宋_GB2312"/>
                <w:sz w:val="28"/>
                <w:szCs w:val="28"/>
              </w:rPr>
              <w:t>名 称</w:t>
            </w:r>
          </w:p>
        </w:tc>
        <w:tc>
          <w:tcPr>
            <w:tcW w:w="1502" w:type="dxa"/>
            <w:gridSpan w:val="2"/>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质量</w:t>
            </w:r>
          </w:p>
        </w:tc>
        <w:tc>
          <w:tcPr>
            <w:tcW w:w="1505" w:type="dxa"/>
            <w:gridSpan w:val="2"/>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数量</w:t>
            </w:r>
          </w:p>
        </w:tc>
        <w:tc>
          <w:tcPr>
            <w:tcW w:w="328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sz w:val="28"/>
                <w:szCs w:val="28"/>
              </w:rPr>
            </w:pPr>
            <w:r>
              <w:rPr>
                <w:rFonts w:hint="eastAsia" w:ascii="仿宋_GB2312" w:eastAsia="仿宋_GB2312" w:cstheme="minorBidi"/>
                <w:kern w:val="2"/>
                <w:sz w:val="28"/>
                <w:szCs w:val="28"/>
                <w:lang w:val="en-US" w:eastAsia="zh-CN" w:bidi="ar-SA"/>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14" w:type="dxa"/>
            <w:vMerge w:val="continue"/>
            <w:vAlign w:val="center"/>
          </w:tcPr>
          <w:p>
            <w:pPr>
              <w:jc w:val="center"/>
            </w:pPr>
          </w:p>
        </w:tc>
        <w:tc>
          <w:tcPr>
            <w:tcW w:w="1418" w:type="dxa"/>
            <w:vMerge w:val="continue"/>
            <w:vAlign w:val="center"/>
          </w:tcPr>
          <w:p>
            <w:pPr>
              <w:jc w:val="center"/>
            </w:pPr>
          </w:p>
        </w:tc>
        <w:tc>
          <w:tcPr>
            <w:tcW w:w="751"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好</w:t>
            </w:r>
          </w:p>
        </w:tc>
        <w:tc>
          <w:tcPr>
            <w:tcW w:w="751"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差</w:t>
            </w:r>
          </w:p>
        </w:tc>
        <w:tc>
          <w:tcPr>
            <w:tcW w:w="751"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准</w:t>
            </w:r>
          </w:p>
        </w:tc>
        <w:tc>
          <w:tcPr>
            <w:tcW w:w="754"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少</w:t>
            </w:r>
          </w:p>
        </w:tc>
        <w:tc>
          <w:tcPr>
            <w:tcW w:w="972"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实际</w:t>
            </w:r>
          </w:p>
        </w:tc>
        <w:tc>
          <w:tcPr>
            <w:tcW w:w="1143"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衢农网</w:t>
            </w:r>
          </w:p>
        </w:tc>
        <w:tc>
          <w:tcPr>
            <w:tcW w:w="1165"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出入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14" w:type="dxa"/>
            <w:vAlign w:val="center"/>
          </w:tcPr>
          <w:p>
            <w:pPr>
              <w:jc w:val="center"/>
              <w:rPr>
                <w:rFonts w:hint="eastAsia" w:ascii="仿宋_GB2312" w:eastAsia="仿宋_GB2312"/>
                <w:sz w:val="28"/>
                <w:szCs w:val="28"/>
              </w:rPr>
            </w:pPr>
          </w:p>
        </w:tc>
        <w:tc>
          <w:tcPr>
            <w:tcW w:w="1418"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4" w:type="dxa"/>
            <w:vAlign w:val="center"/>
          </w:tcPr>
          <w:p>
            <w:pPr>
              <w:jc w:val="center"/>
              <w:rPr>
                <w:rFonts w:hint="eastAsia" w:ascii="仿宋_GB2312" w:eastAsia="仿宋_GB2312"/>
                <w:sz w:val="28"/>
                <w:szCs w:val="28"/>
              </w:rPr>
            </w:pPr>
          </w:p>
        </w:tc>
        <w:tc>
          <w:tcPr>
            <w:tcW w:w="972" w:type="dxa"/>
            <w:vAlign w:val="center"/>
          </w:tcPr>
          <w:p>
            <w:pPr>
              <w:jc w:val="center"/>
              <w:rPr>
                <w:rFonts w:hint="eastAsia" w:ascii="仿宋_GB2312" w:eastAsia="仿宋_GB2312"/>
                <w:sz w:val="28"/>
                <w:szCs w:val="28"/>
              </w:rPr>
            </w:pPr>
          </w:p>
        </w:tc>
        <w:tc>
          <w:tcPr>
            <w:tcW w:w="1143" w:type="dxa"/>
            <w:vAlign w:val="center"/>
          </w:tcPr>
          <w:p>
            <w:pPr>
              <w:jc w:val="center"/>
              <w:rPr>
                <w:rFonts w:hint="eastAsia" w:ascii="仿宋_GB2312" w:eastAsia="仿宋_GB2312"/>
                <w:sz w:val="28"/>
                <w:szCs w:val="28"/>
              </w:rPr>
            </w:pPr>
          </w:p>
        </w:tc>
        <w:tc>
          <w:tcPr>
            <w:tcW w:w="1165" w:type="dxa"/>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14" w:type="dxa"/>
            <w:vAlign w:val="center"/>
          </w:tcPr>
          <w:p>
            <w:pPr>
              <w:jc w:val="center"/>
              <w:rPr>
                <w:rFonts w:hint="eastAsia" w:ascii="仿宋_GB2312" w:eastAsia="仿宋_GB2312"/>
                <w:sz w:val="28"/>
                <w:szCs w:val="28"/>
              </w:rPr>
            </w:pPr>
          </w:p>
        </w:tc>
        <w:tc>
          <w:tcPr>
            <w:tcW w:w="1418"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4" w:type="dxa"/>
            <w:vAlign w:val="center"/>
          </w:tcPr>
          <w:p>
            <w:pPr>
              <w:jc w:val="center"/>
              <w:rPr>
                <w:rFonts w:hint="eastAsia" w:ascii="仿宋_GB2312" w:eastAsia="仿宋_GB2312"/>
                <w:sz w:val="28"/>
                <w:szCs w:val="28"/>
              </w:rPr>
            </w:pPr>
          </w:p>
        </w:tc>
        <w:tc>
          <w:tcPr>
            <w:tcW w:w="972" w:type="dxa"/>
            <w:vAlign w:val="center"/>
          </w:tcPr>
          <w:p>
            <w:pPr>
              <w:jc w:val="center"/>
              <w:rPr>
                <w:rFonts w:hint="eastAsia" w:ascii="仿宋_GB2312" w:eastAsia="仿宋_GB2312"/>
                <w:sz w:val="28"/>
                <w:szCs w:val="28"/>
              </w:rPr>
            </w:pPr>
          </w:p>
        </w:tc>
        <w:tc>
          <w:tcPr>
            <w:tcW w:w="1143" w:type="dxa"/>
            <w:vAlign w:val="center"/>
          </w:tcPr>
          <w:p>
            <w:pPr>
              <w:jc w:val="center"/>
              <w:rPr>
                <w:rFonts w:hint="eastAsia" w:ascii="仿宋_GB2312" w:eastAsia="仿宋_GB2312"/>
                <w:sz w:val="28"/>
                <w:szCs w:val="28"/>
              </w:rPr>
            </w:pPr>
          </w:p>
        </w:tc>
        <w:tc>
          <w:tcPr>
            <w:tcW w:w="1165" w:type="dxa"/>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14" w:type="dxa"/>
            <w:vAlign w:val="center"/>
          </w:tcPr>
          <w:p>
            <w:pPr>
              <w:jc w:val="center"/>
              <w:rPr>
                <w:rFonts w:hint="eastAsia" w:ascii="仿宋_GB2312" w:eastAsia="仿宋_GB2312"/>
                <w:sz w:val="28"/>
                <w:szCs w:val="28"/>
              </w:rPr>
            </w:pPr>
          </w:p>
        </w:tc>
        <w:tc>
          <w:tcPr>
            <w:tcW w:w="1418"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4" w:type="dxa"/>
            <w:vAlign w:val="center"/>
          </w:tcPr>
          <w:p>
            <w:pPr>
              <w:jc w:val="center"/>
              <w:rPr>
                <w:rFonts w:hint="eastAsia" w:ascii="仿宋_GB2312" w:eastAsia="仿宋_GB2312"/>
                <w:sz w:val="28"/>
                <w:szCs w:val="28"/>
              </w:rPr>
            </w:pPr>
          </w:p>
        </w:tc>
        <w:tc>
          <w:tcPr>
            <w:tcW w:w="972" w:type="dxa"/>
            <w:vAlign w:val="center"/>
          </w:tcPr>
          <w:p>
            <w:pPr>
              <w:jc w:val="center"/>
              <w:rPr>
                <w:rFonts w:hint="eastAsia" w:ascii="仿宋_GB2312" w:eastAsia="仿宋_GB2312"/>
                <w:sz w:val="28"/>
                <w:szCs w:val="28"/>
              </w:rPr>
            </w:pPr>
          </w:p>
        </w:tc>
        <w:tc>
          <w:tcPr>
            <w:tcW w:w="1143" w:type="dxa"/>
            <w:vAlign w:val="center"/>
          </w:tcPr>
          <w:p>
            <w:pPr>
              <w:jc w:val="center"/>
              <w:rPr>
                <w:rFonts w:hint="eastAsia" w:ascii="仿宋_GB2312" w:eastAsia="仿宋_GB2312"/>
                <w:sz w:val="28"/>
                <w:szCs w:val="28"/>
              </w:rPr>
            </w:pPr>
          </w:p>
        </w:tc>
        <w:tc>
          <w:tcPr>
            <w:tcW w:w="1165" w:type="dxa"/>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14" w:type="dxa"/>
            <w:vAlign w:val="center"/>
          </w:tcPr>
          <w:p>
            <w:pPr>
              <w:jc w:val="center"/>
              <w:rPr>
                <w:rFonts w:hint="eastAsia" w:ascii="仿宋_GB2312" w:eastAsia="仿宋_GB2312"/>
                <w:sz w:val="28"/>
                <w:szCs w:val="28"/>
              </w:rPr>
            </w:pPr>
          </w:p>
        </w:tc>
        <w:tc>
          <w:tcPr>
            <w:tcW w:w="1418"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1" w:type="dxa"/>
            <w:vAlign w:val="center"/>
          </w:tcPr>
          <w:p>
            <w:pPr>
              <w:jc w:val="center"/>
              <w:rPr>
                <w:rFonts w:hint="eastAsia" w:ascii="仿宋_GB2312" w:eastAsia="仿宋_GB2312"/>
                <w:sz w:val="28"/>
                <w:szCs w:val="28"/>
              </w:rPr>
            </w:pPr>
          </w:p>
        </w:tc>
        <w:tc>
          <w:tcPr>
            <w:tcW w:w="754" w:type="dxa"/>
            <w:vAlign w:val="center"/>
          </w:tcPr>
          <w:p>
            <w:pPr>
              <w:jc w:val="center"/>
              <w:rPr>
                <w:rFonts w:hint="eastAsia" w:ascii="仿宋_GB2312" w:eastAsia="仿宋_GB2312"/>
                <w:sz w:val="28"/>
                <w:szCs w:val="28"/>
              </w:rPr>
            </w:pPr>
          </w:p>
        </w:tc>
        <w:tc>
          <w:tcPr>
            <w:tcW w:w="972" w:type="dxa"/>
            <w:vAlign w:val="center"/>
          </w:tcPr>
          <w:p>
            <w:pPr>
              <w:jc w:val="center"/>
              <w:rPr>
                <w:rFonts w:hint="eastAsia" w:ascii="仿宋_GB2312" w:eastAsia="仿宋_GB2312"/>
                <w:sz w:val="28"/>
                <w:szCs w:val="28"/>
              </w:rPr>
            </w:pPr>
          </w:p>
        </w:tc>
        <w:tc>
          <w:tcPr>
            <w:tcW w:w="1143" w:type="dxa"/>
            <w:vAlign w:val="center"/>
          </w:tcPr>
          <w:p>
            <w:pPr>
              <w:jc w:val="center"/>
              <w:rPr>
                <w:rFonts w:hint="eastAsia" w:ascii="仿宋_GB2312" w:eastAsia="仿宋_GB2312"/>
                <w:sz w:val="28"/>
                <w:szCs w:val="28"/>
              </w:rPr>
            </w:pPr>
          </w:p>
        </w:tc>
        <w:tc>
          <w:tcPr>
            <w:tcW w:w="1165" w:type="dxa"/>
            <w:vAlign w:val="center"/>
          </w:tcPr>
          <w:p>
            <w:pPr>
              <w:jc w:val="center"/>
              <w:rPr>
                <w:rFonts w:hint="eastAsia" w:ascii="仿宋_GB2312" w:eastAsia="仿宋_GB2312"/>
                <w:sz w:val="28"/>
                <w:szCs w:val="28"/>
              </w:rPr>
            </w:pPr>
          </w:p>
        </w:tc>
      </w:tr>
    </w:tbl>
    <w:p>
      <w:pPr>
        <w:jc w:val="center"/>
        <w:rPr>
          <w:rFonts w:hint="eastAsia" w:ascii="仿宋_GB2312" w:eastAsia="仿宋_GB2312"/>
          <w:sz w:val="28"/>
          <w:szCs w:val="28"/>
        </w:rPr>
      </w:pPr>
    </w:p>
    <w:p>
      <w:pPr>
        <w:jc w:val="center"/>
      </w:pPr>
      <w:r>
        <w:rPr>
          <w:rFonts w:hint="eastAsia" w:ascii="仿宋_GB2312" w:eastAsia="仿宋_GB2312"/>
          <w:sz w:val="28"/>
          <w:szCs w:val="28"/>
        </w:rPr>
        <w:t>验菜人：</w:t>
      </w:r>
      <w:r>
        <w:rPr>
          <w:rFonts w:hint="eastAsia" w:ascii="仿宋_GB2312" w:eastAsia="仿宋_GB2312"/>
          <w:sz w:val="28"/>
          <w:szCs w:val="28"/>
          <w:u w:val="single"/>
        </w:rPr>
        <w:t xml:space="preserve">                       </w:t>
      </w:r>
      <w:bookmarkEnd w:id="1"/>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33286"/>
    <w:multiLevelType w:val="multilevel"/>
    <w:tmpl w:val="45133286"/>
    <w:lvl w:ilvl="0" w:tentative="0">
      <w:start w:val="1"/>
      <w:numFmt w:val="chineseCountingThousand"/>
      <w:pStyle w:val="3"/>
      <w:lvlText w:val="%1."/>
      <w:lvlJc w:val="left"/>
      <w:pPr>
        <w:ind w:left="0" w:firstLine="0"/>
      </w:pPr>
      <w:rPr>
        <w:rFonts w:hint="eastAsia" w:ascii="宋体" w:hAnsi="宋体" w:eastAsia="宋体"/>
        <w:b/>
        <w:i w:val="0"/>
        <w:sz w:val="32"/>
        <w:szCs w:val="21"/>
      </w:rPr>
    </w:lvl>
    <w:lvl w:ilvl="1" w:tentative="0">
      <w:start w:val="1"/>
      <w:numFmt w:val="decimal"/>
      <w:lvlText w:val="%2."/>
      <w:lvlJc w:val="left"/>
      <w:pPr>
        <w:ind w:left="0" w:firstLine="0"/>
      </w:pPr>
      <w:rPr>
        <w:rFonts w:hint="eastAsia"/>
      </w:rPr>
    </w:lvl>
    <w:lvl w:ilvl="2" w:tentative="0">
      <w:start w:val="1"/>
      <w:numFmt w:val="decimal"/>
      <w:lvlText w:val="%2.%3."/>
      <w:lvlJc w:val="left"/>
      <w:pPr>
        <w:ind w:left="0" w:firstLine="0"/>
      </w:pPr>
      <w:rPr>
        <w:rFonts w:hint="eastAsia"/>
      </w:rPr>
    </w:lvl>
    <w:lvl w:ilvl="3" w:tentative="0">
      <w:start w:val="1"/>
      <w:numFmt w:val="decimal"/>
      <w:lvlText w:val="%2.%3.%4."/>
      <w:lvlJc w:val="left"/>
      <w:pPr>
        <w:ind w:left="0" w:firstLine="0"/>
      </w:pPr>
      <w:rPr>
        <w:rFonts w:hint="eastAsia"/>
      </w:rPr>
    </w:lvl>
    <w:lvl w:ilvl="4" w:tentative="0">
      <w:start w:val="1"/>
      <w:numFmt w:val="decimal"/>
      <w:lvlText w:val="%2.%3.%4.%5."/>
      <w:lvlJc w:val="left"/>
      <w:pPr>
        <w:ind w:left="0" w:firstLine="0"/>
      </w:pPr>
      <w:rPr>
        <w:rFonts w:hint="eastAsia"/>
      </w:rPr>
    </w:lvl>
    <w:lvl w:ilvl="5" w:tentative="0">
      <w:start w:val="1"/>
      <w:numFmt w:val="decimal"/>
      <w:isLgl/>
      <w:lvlText w:val="%2.%3.%4.%5.%6."/>
      <w:lvlJc w:val="left"/>
      <w:pPr>
        <w:ind w:left="0" w:firstLine="0"/>
      </w:pPr>
      <w:rPr>
        <w:rFonts w:hint="eastAsia" w:ascii="宋体" w:hAnsi="宋体" w:eastAsia="宋体" w:cs="Times New Roman"/>
        <w:b/>
        <w:bCs w:val="0"/>
        <w:i w:val="0"/>
        <w:iCs w:val="0"/>
        <w:caps w:val="0"/>
        <w:smallCaps w:val="0"/>
        <w:strike w:val="0"/>
        <w:dstrike w:val="0"/>
        <w:vanish w:val="0"/>
        <w:spacing w:val="0"/>
        <w:position w:val="0"/>
        <w:sz w:val="24"/>
        <w:u w:val="none"/>
        <w:vertAlign w:val="baseline"/>
      </w:rPr>
    </w:lvl>
    <w:lvl w:ilvl="6" w:tentative="0">
      <w:start w:val="1"/>
      <w:numFmt w:val="decimal"/>
      <w:isLg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13611"/>
    <w:rsid w:val="03E13611"/>
    <w:rsid w:val="5EA05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qFormat/>
    <w:uiPriority w:val="0"/>
    <w:pPr>
      <w:keepNext/>
      <w:keepLines/>
      <w:widowControl w:val="0"/>
      <w:numPr>
        <w:ilvl w:val="0"/>
        <w:numId w:val="1"/>
      </w:numPr>
      <w:adjustRightInd/>
      <w:snapToGrid/>
      <w:spacing w:beforeLines="50" w:afterLines="50" w:line="360" w:lineRule="auto"/>
      <w:outlineLvl w:val="0"/>
    </w:pPr>
    <w:rPr>
      <w:rFonts w:ascii="Times New Roman" w:hAnsi="Times New Roman" w:eastAsia="宋体"/>
      <w:b/>
      <w:kern w:val="44"/>
      <w:sz w:val="32"/>
      <w:szCs w:val="24"/>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0"/>
    <w:pPr>
      <w:ind w:left="0" w:leftChars="0" w:firstLine="0" w:firstLineChars="0"/>
    </w:pPr>
    <w:rPr>
      <w:rFonts w:ascii="宋体" w:hAnsi="宋体" w:eastAsia="宋体" w:cs="宋体"/>
      <w:sz w:val="24"/>
      <w:szCs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2021-01-11T09:24:00Z</dcterms:created>
  <dc:creator>XF</dc:creator>
  <cp:lastModifiedBy>XF</cp:lastModifiedBy>
  <dcterms:modified xsi:type="dcterms:W3CDTF">2021-01-11T09:25:35Z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