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numPr>
          <w:numId w:val="0"/>
        </w:numPr>
        <w:snapToGrid w:val="0"/>
        <w:spacing w:before="0" w:beforeAutospacing="0" w:after="0" w:afterAutospacing="0" w:line="500" w:lineRule="atLeast"/>
        <w:jc w:val="center"/>
        <w:outlineLvl w:val="0"/>
        <w:rPr>
          <w:rFonts w:ascii="仿宋_GB2312" w:hAnsi="仿宋_GB2312" w:eastAsia="仿宋_GB2312" w:cs="仿宋_GB2312"/>
          <w:b/>
          <w:kern w:val="2"/>
          <w:sz w:val="28"/>
          <w:szCs w:val="28"/>
        </w:rPr>
      </w:pPr>
      <w:bookmarkStart w:id="2" w:name="_GoBack"/>
      <w:bookmarkStart w:id="0" w:name="_Toc14693"/>
      <w:bookmarkStart w:id="1" w:name="_Toc22141"/>
      <w:r>
        <w:rPr>
          <w:rFonts w:hint="eastAsia" w:ascii="仿宋_GB2312" w:hAnsi="仿宋_GB2312" w:eastAsia="仿宋_GB2312" w:cs="仿宋_GB2312"/>
          <w:b/>
          <w:kern w:val="2"/>
          <w:sz w:val="28"/>
          <w:szCs w:val="28"/>
        </w:rPr>
        <w:t>衢州市国有资产经营有限公司车辆采购项目</w:t>
      </w:r>
      <w:r>
        <w:rPr>
          <w:rFonts w:ascii="仿宋_GB2312" w:hAnsi="仿宋_GB2312" w:eastAsia="仿宋_GB2312" w:cs="仿宋_GB2312"/>
          <w:b/>
          <w:kern w:val="2"/>
          <w:sz w:val="28"/>
          <w:szCs w:val="28"/>
        </w:rPr>
        <w:t>采购内容及需求</w:t>
      </w:r>
      <w:bookmarkEnd w:id="0"/>
      <w:bookmarkEnd w:id="1"/>
    </w:p>
    <w:bookmarkEnd w:id="2"/>
    <w:p>
      <w:pPr>
        <w:pStyle w:val="8"/>
        <w:rPr>
          <w:rFonts w:hint="eastAsia" w:eastAsia="仿宋_GB2312"/>
          <w:lang w:eastAsia="zh-CN"/>
        </w:rPr>
      </w:pPr>
    </w:p>
    <w:tbl>
      <w:tblPr>
        <w:tblStyle w:val="6"/>
        <w:tblpPr w:leftFromText="180" w:rightFromText="180" w:vertAnchor="text" w:horzAnchor="page" w:tblpX="1667" w:tblpY="236"/>
        <w:tblOverlap w:val="never"/>
        <w:tblW w:w="136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005"/>
        <w:gridCol w:w="1440"/>
        <w:gridCol w:w="1110"/>
        <w:gridCol w:w="701"/>
        <w:gridCol w:w="1331"/>
        <w:gridCol w:w="1373"/>
        <w:gridCol w:w="1335"/>
        <w:gridCol w:w="3033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5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品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牌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车辆型号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排量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3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颜色</w:t>
            </w:r>
          </w:p>
        </w:tc>
        <w:tc>
          <w:tcPr>
            <w:tcW w:w="137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最高限价（元）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交货时间</w:t>
            </w:r>
          </w:p>
        </w:tc>
        <w:tc>
          <w:tcPr>
            <w:tcW w:w="303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别克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GL8陆尊653T豪华型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2.0T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1辆</w:t>
            </w:r>
          </w:p>
        </w:tc>
        <w:tc>
          <w:tcPr>
            <w:tcW w:w="13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巧克力褐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380000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合同生效20天</w:t>
            </w:r>
          </w:p>
        </w:tc>
        <w:tc>
          <w:tcPr>
            <w:tcW w:w="303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1.供应商需赠送原厂脚垫、首次及二次保养；2.交车时里程表记录小于50公里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赠送全车贴膜、长包围脚垫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686" w:type="dxa"/>
            <w:gridSpan w:val="10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*付款方式：自车辆验收交付、完成上牌并收到全额发票后十五个工作日内支付全部车价款。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*供应商保证所供车辆是2021年新款的、未使用过的，符合国家规定的技术规格和质量标准的出厂原装合格产品，并且是完全符合该车型所要求规定的技术参数和质量要求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C0A2D"/>
    <w:rsid w:val="0A8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 w:afterLines="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4">
    <w:name w:val="Normal (Web)"/>
    <w:basedOn w:val="1"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/>
      <w:kern w:val="0"/>
      <w:sz w:val="24"/>
      <w:szCs w:val="20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_Style 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2021-01-10T03:28:00Z</dcterms:created>
  <dc:creator>XF</dc:creator>
  <cp:lastModifiedBy>XF</cp:lastModifiedBy>
  <dcterms:modified xsi:type="dcterms:W3CDTF">2021-01-10T03:28:40Z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