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40" w:lineRule="exact"/>
        <w:jc w:val="center"/>
        <w:outlineLvl w:val="0"/>
        <w:rPr>
          <w:rFonts w:hint="eastAsia" w:ascii="宋体" w:hAnsi="宋体" w:eastAsia="宋体" w:cs="宋体"/>
          <w:b/>
          <w:sz w:val="24"/>
          <w:szCs w:val="24"/>
          <w:highlight w:val="none"/>
        </w:rPr>
      </w:pPr>
      <w:bookmarkStart w:id="1" w:name="_GoBack"/>
      <w:bookmarkStart w:id="0" w:name="_Toc19455"/>
      <w:r>
        <w:rPr>
          <w:rFonts w:hint="eastAsia" w:ascii="宋体" w:hAnsi="宋体" w:eastAsia="宋体" w:cs="宋体"/>
          <w:b/>
          <w:sz w:val="24"/>
          <w:szCs w:val="24"/>
          <w:highlight w:val="none"/>
        </w:rPr>
        <w:t>浙江信安大健康科技有限公司医疗设备采购项目（标段二十</w:t>
      </w:r>
      <w:r>
        <w:rPr>
          <w:rFonts w:hint="eastAsia" w:ascii="宋体" w:hAnsi="宋体" w:eastAsia="宋体" w:cs="宋体"/>
          <w:b/>
          <w:sz w:val="24"/>
          <w:szCs w:val="24"/>
          <w:highlight w:val="none"/>
          <w:lang w:eastAsia="zh-CN"/>
        </w:rPr>
        <w:t>九</w:t>
      </w:r>
      <w:r>
        <w:rPr>
          <w:rFonts w:hint="eastAsia" w:ascii="宋体" w:hAnsi="宋体" w:eastAsia="宋体" w:cs="宋体"/>
          <w:b/>
          <w:sz w:val="24"/>
          <w:szCs w:val="24"/>
          <w:highlight w:val="none"/>
        </w:rPr>
        <w:t>）采购内容及要求</w:t>
      </w:r>
      <w:bookmarkEnd w:id="0"/>
    </w:p>
    <w:p>
      <w:pPr>
        <w:pStyle w:val="2"/>
        <w:rPr>
          <w:rFonts w:hint="eastAsia" w:ascii="宋体" w:hAnsi="宋体" w:eastAsia="宋体" w:cs="宋体"/>
          <w:highlight w:val="none"/>
        </w:rPr>
      </w:pPr>
    </w:p>
    <w:p>
      <w:pPr>
        <w:widowControl/>
        <w:numPr>
          <w:ilvl w:val="0"/>
          <w:numId w:val="1"/>
        </w:numPr>
        <w:spacing w:line="360" w:lineRule="auto"/>
        <w:textAlignment w:val="baseline"/>
        <w:rPr>
          <w:rStyle w:val="9"/>
          <w:rFonts w:ascii="宋体" w:hAnsi="宋体" w:eastAsia="宋体" w:cs="宋体"/>
          <w:b/>
          <w:bCs/>
          <w:szCs w:val="21"/>
          <w:highlight w:val="none"/>
        </w:rPr>
      </w:pPr>
      <w:r>
        <w:rPr>
          <w:rStyle w:val="9"/>
          <w:rFonts w:ascii="宋体" w:hAnsi="宋体" w:eastAsia="宋体" w:cs="宋体"/>
          <w:b/>
          <w:bCs/>
          <w:szCs w:val="21"/>
          <w:highlight w:val="none"/>
        </w:rPr>
        <w:t>采购内容</w:t>
      </w:r>
    </w:p>
    <w:tbl>
      <w:tblPr>
        <w:tblStyle w:val="5"/>
        <w:tblW w:w="9680" w:type="dxa"/>
        <w:tblInd w:w="-2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2"/>
        <w:gridCol w:w="3130"/>
        <w:gridCol w:w="964"/>
        <w:gridCol w:w="1216"/>
        <w:gridCol w:w="1335"/>
        <w:gridCol w:w="1246"/>
        <w:gridCol w:w="9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标项</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采购内容</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数量</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单位</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预算金额</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最高限价</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kern w:val="0"/>
                <w:szCs w:val="21"/>
                <w:highlight w:val="none"/>
              </w:rPr>
            </w:pPr>
            <w:r>
              <w:rPr>
                <w:rStyle w:val="9"/>
                <w:rFonts w:ascii="宋体" w:hAnsi="宋体" w:eastAsia="宋体"/>
                <w:kern w:val="0"/>
                <w:szCs w:val="21"/>
                <w:highlight w:val="none"/>
              </w:rPr>
              <w:t>1</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洗肠机</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r>
              <w:rPr>
                <w:rStyle w:val="9"/>
                <w:rFonts w:hint="eastAsia" w:ascii="宋体" w:hAnsi="宋体" w:eastAsia="宋体"/>
                <w:szCs w:val="21"/>
                <w:highlight w:val="none"/>
                <w:lang w:val="en-US" w:eastAsia="zh-CN"/>
              </w:rPr>
              <w:t>20万元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r>
              <w:rPr>
                <w:rStyle w:val="9"/>
                <w:rFonts w:hint="eastAsia" w:ascii="宋体" w:hAnsi="宋体" w:eastAsia="宋体"/>
                <w:szCs w:val="21"/>
                <w:highlight w:val="none"/>
                <w:lang w:val="en-US" w:eastAsia="zh-CN"/>
              </w:rPr>
              <w:t>20万元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2</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普通纤维支气管镜</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val="en-US" w:eastAsia="zh-CN"/>
              </w:rPr>
              <w:t>批</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15</w:t>
            </w:r>
            <w:r>
              <w:rPr>
                <w:rStyle w:val="9"/>
                <w:rFonts w:ascii="宋体" w:hAnsi="宋体" w:eastAsia="宋体"/>
                <w:szCs w:val="21"/>
                <w:highlight w:val="none"/>
              </w:rPr>
              <w:t>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15</w:t>
            </w:r>
            <w:r>
              <w:rPr>
                <w:rStyle w:val="9"/>
                <w:rFonts w:ascii="宋体" w:hAnsi="宋体" w:eastAsia="宋体"/>
                <w:szCs w:val="21"/>
                <w:highlight w:val="none"/>
              </w:rPr>
              <w:t>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3</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眼底激光</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45万元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45万元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4</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心电监护仪</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2</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3万元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3万元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5</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数字胃肠</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180万元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default" w:ascii="宋体" w:hAnsi="宋体" w:eastAsia="宋体"/>
                <w:szCs w:val="21"/>
                <w:highlight w:val="none"/>
                <w:lang w:val="en-US" w:eastAsia="zh-CN"/>
              </w:rPr>
            </w:pPr>
            <w:r>
              <w:rPr>
                <w:rStyle w:val="9"/>
                <w:rFonts w:hint="eastAsia" w:ascii="宋体" w:hAnsi="宋体" w:eastAsia="宋体"/>
                <w:szCs w:val="21"/>
                <w:highlight w:val="none"/>
                <w:lang w:val="en-US" w:eastAsia="zh-CN"/>
              </w:rPr>
              <w:t>180万元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832"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kern w:val="0"/>
                <w:szCs w:val="21"/>
                <w:highlight w:val="none"/>
                <w:lang w:val="en-US" w:eastAsia="zh-CN"/>
              </w:rPr>
            </w:pPr>
            <w:r>
              <w:rPr>
                <w:rStyle w:val="9"/>
                <w:rFonts w:hint="eastAsia" w:ascii="宋体" w:hAnsi="宋体" w:eastAsia="宋体"/>
                <w:kern w:val="0"/>
                <w:szCs w:val="21"/>
                <w:highlight w:val="none"/>
                <w:lang w:val="en-US" w:eastAsia="zh-CN"/>
              </w:rPr>
              <w:t>6</w:t>
            </w:r>
          </w:p>
        </w:tc>
        <w:tc>
          <w:tcPr>
            <w:tcW w:w="3130"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荧光免疫分析仪</w:t>
            </w:r>
          </w:p>
        </w:tc>
        <w:tc>
          <w:tcPr>
            <w:tcW w:w="96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1</w:t>
            </w:r>
          </w:p>
        </w:tc>
        <w:tc>
          <w:tcPr>
            <w:tcW w:w="121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eastAsia="zh-CN"/>
              </w:rPr>
            </w:pPr>
            <w:r>
              <w:rPr>
                <w:rStyle w:val="9"/>
                <w:rFonts w:hint="eastAsia" w:ascii="宋体" w:hAnsi="宋体" w:eastAsia="宋体"/>
                <w:szCs w:val="21"/>
                <w:highlight w:val="none"/>
                <w:lang w:eastAsia="zh-CN"/>
              </w:rPr>
              <w:t>台</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3万元</w:t>
            </w:r>
          </w:p>
        </w:tc>
        <w:tc>
          <w:tcPr>
            <w:tcW w:w="124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hint="eastAsia" w:ascii="宋体" w:hAnsi="宋体" w:eastAsia="宋体"/>
                <w:szCs w:val="21"/>
                <w:highlight w:val="none"/>
                <w:lang w:val="en-US" w:eastAsia="zh-CN"/>
              </w:rPr>
            </w:pPr>
            <w:r>
              <w:rPr>
                <w:rStyle w:val="9"/>
                <w:rFonts w:hint="eastAsia" w:ascii="宋体" w:hAnsi="宋体" w:eastAsia="宋体"/>
                <w:szCs w:val="21"/>
                <w:highlight w:val="none"/>
                <w:lang w:val="en-US" w:eastAsia="zh-CN"/>
              </w:rPr>
              <w:t>3万元</w:t>
            </w:r>
          </w:p>
        </w:tc>
        <w:tc>
          <w:tcPr>
            <w:tcW w:w="957"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36" w:lineRule="auto"/>
              <w:jc w:val="center"/>
              <w:rPr>
                <w:rStyle w:val="9"/>
                <w:rFonts w:ascii="宋体" w:hAnsi="宋体" w:eastAsia="宋体"/>
                <w:szCs w:val="21"/>
                <w:highlight w:val="none"/>
              </w:rPr>
            </w:pPr>
          </w:p>
        </w:tc>
      </w:tr>
    </w:tbl>
    <w:p>
      <w:pPr>
        <w:numPr>
          <w:ilvl w:val="0"/>
          <w:numId w:val="1"/>
        </w:numPr>
        <w:spacing w:line="360" w:lineRule="auto"/>
        <w:ind w:left="0" w:leftChars="0" w:firstLine="0" w:firstLineChars="0"/>
        <w:rPr>
          <w:rStyle w:val="9"/>
          <w:rFonts w:ascii="宋体" w:hAnsi="宋体" w:eastAsia="宋体" w:cs="宋体"/>
          <w:b/>
          <w:bCs/>
          <w:szCs w:val="21"/>
          <w:highlight w:val="none"/>
        </w:rPr>
      </w:pPr>
      <w:r>
        <w:rPr>
          <w:rStyle w:val="9"/>
          <w:rFonts w:ascii="宋体" w:hAnsi="宋体" w:eastAsia="宋体" w:cs="宋体"/>
          <w:b/>
          <w:bCs/>
          <w:szCs w:val="21"/>
          <w:highlight w:val="none"/>
        </w:rPr>
        <w:t>技术参数</w:t>
      </w: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eastAsia="zh-CN"/>
        </w:rPr>
      </w:pPr>
      <w:r>
        <w:rPr>
          <w:rFonts w:hint="eastAsia" w:ascii="宋体" w:hAnsi="宋体" w:eastAsia="宋体" w:cs="宋体"/>
          <w:b/>
          <w:bCs/>
          <w:sz w:val="21"/>
          <w:szCs w:val="21"/>
          <w:highlight w:val="none"/>
          <w:lang w:eastAsia="zh-CN"/>
        </w:rPr>
        <w:t>标项</w:t>
      </w:r>
      <w:r>
        <w:rPr>
          <w:rFonts w:hint="eastAsia" w:ascii="宋体" w:hAnsi="宋体" w:eastAsia="宋体" w:cs="宋体"/>
          <w:b/>
          <w:bCs/>
          <w:sz w:val="21"/>
          <w:szCs w:val="21"/>
          <w:highlight w:val="none"/>
          <w:lang w:val="en-US" w:eastAsia="zh-CN"/>
        </w:rPr>
        <w:t>1</w:t>
      </w:r>
      <w:r>
        <w:rPr>
          <w:rStyle w:val="9"/>
          <w:rFonts w:hint="eastAsia" w:ascii="宋体" w:hAnsi="宋体" w:eastAsia="宋体" w:cs="宋体"/>
          <w:b/>
          <w:bCs/>
          <w:sz w:val="21"/>
          <w:szCs w:val="21"/>
          <w:highlight w:val="none"/>
          <w:lang w:val="en-US" w:eastAsia="zh-CN"/>
        </w:rPr>
        <w:t>洗肠机</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适应范围：主要适用于习惯性便秘、慢性结肠炎的治疗以及手术、肠镜检查的准备处理（以注册证适用范围为准）；</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组成结构：由观察窗、药液加注、消毒液瓶、污物出口、温控仪、流量计等组成；</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技术要求：</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 xml:space="preserve">3.1 </w:t>
      </w:r>
      <w:r>
        <w:rPr>
          <w:rStyle w:val="9"/>
          <w:rFonts w:hint="eastAsia" w:ascii="宋体" w:hAnsi="宋体" w:eastAsia="宋体" w:cs="宋体"/>
          <w:b w:val="0"/>
          <w:bCs w:val="0"/>
          <w:sz w:val="21"/>
          <w:szCs w:val="21"/>
          <w:highlight w:val="none"/>
          <w:lang w:eastAsia="zh-CN"/>
        </w:rPr>
        <w:t>设有观察窗，可肉眼观察肠道持续排出污物情况，方便于临床观察；</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3.2 </w:t>
      </w:r>
      <w:r>
        <w:rPr>
          <w:rStyle w:val="9"/>
          <w:rFonts w:hint="eastAsia" w:ascii="宋体" w:hAnsi="宋体" w:eastAsia="宋体" w:cs="宋体"/>
          <w:b w:val="0"/>
          <w:bCs w:val="0"/>
          <w:sz w:val="21"/>
          <w:szCs w:val="21"/>
          <w:highlight w:val="none"/>
          <w:lang w:eastAsia="zh-CN"/>
        </w:rPr>
        <w:t>设有独立药液加注口，有利于在结肠腔内建立起有效的透析系统，利用肠道粘膜的生物半透膜性、实现透皮吸收；</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3.3 </w:t>
      </w:r>
      <w:r>
        <w:rPr>
          <w:rStyle w:val="9"/>
          <w:rFonts w:hint="eastAsia" w:ascii="宋体" w:hAnsi="宋体" w:eastAsia="宋体" w:cs="宋体"/>
          <w:b w:val="0"/>
          <w:bCs w:val="0"/>
          <w:sz w:val="21"/>
          <w:szCs w:val="21"/>
          <w:highlight w:val="none"/>
          <w:lang w:eastAsia="zh-CN"/>
        </w:rPr>
        <w:t>自动药液加注功能，一键式需要加注时，按下“加注”按钮，开始加注药液；</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3.4 </w:t>
      </w:r>
      <w:r>
        <w:rPr>
          <w:rStyle w:val="9"/>
          <w:rFonts w:hint="eastAsia" w:ascii="宋体" w:hAnsi="宋体" w:eastAsia="宋体" w:cs="宋体"/>
          <w:b w:val="0"/>
          <w:bCs w:val="0"/>
          <w:sz w:val="21"/>
          <w:szCs w:val="21"/>
          <w:highlight w:val="none"/>
          <w:lang w:eastAsia="zh-CN"/>
        </w:rPr>
        <w:t>当加注药瓶压力达到40±5KPa时,药液加注应停止；</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3.5 </w:t>
      </w:r>
      <w:r>
        <w:rPr>
          <w:rStyle w:val="9"/>
          <w:rFonts w:hint="eastAsia" w:ascii="宋体" w:hAnsi="宋体" w:eastAsia="宋体" w:cs="宋体"/>
          <w:b w:val="0"/>
          <w:bCs w:val="0"/>
          <w:sz w:val="21"/>
          <w:szCs w:val="21"/>
          <w:highlight w:val="none"/>
          <w:lang w:eastAsia="zh-CN"/>
        </w:rPr>
        <w:t>设有独立污物出口，有利于污物直接排出；</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3.6 </w:t>
      </w:r>
      <w:r>
        <w:rPr>
          <w:rStyle w:val="9"/>
          <w:rFonts w:hint="eastAsia" w:ascii="宋体" w:hAnsi="宋体" w:eastAsia="宋体" w:cs="宋体"/>
          <w:b w:val="0"/>
          <w:bCs w:val="0"/>
          <w:sz w:val="21"/>
          <w:szCs w:val="21"/>
          <w:highlight w:val="none"/>
          <w:lang w:eastAsia="zh-CN"/>
        </w:rPr>
        <w:t>电动排放控制阀；</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3.7 </w:t>
      </w:r>
      <w:r>
        <w:rPr>
          <w:rStyle w:val="9"/>
          <w:rFonts w:hint="eastAsia" w:ascii="宋体" w:hAnsi="宋体" w:eastAsia="宋体" w:cs="宋体"/>
          <w:b w:val="0"/>
          <w:bCs w:val="0"/>
          <w:sz w:val="21"/>
          <w:szCs w:val="21"/>
          <w:highlight w:val="none"/>
          <w:lang w:eastAsia="zh-CN"/>
        </w:rPr>
        <w:t>温控仪测量范围：0℃～50℃；</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3.8 </w:t>
      </w:r>
      <w:r>
        <w:rPr>
          <w:rStyle w:val="9"/>
          <w:rFonts w:hint="eastAsia" w:ascii="宋体" w:hAnsi="宋体" w:eastAsia="宋体" w:cs="宋体"/>
          <w:b w:val="0"/>
          <w:bCs w:val="0"/>
          <w:sz w:val="21"/>
          <w:szCs w:val="21"/>
          <w:highlight w:val="none"/>
          <w:lang w:eastAsia="zh-CN"/>
        </w:rPr>
        <w:t>温控仪调节范围：26℃-39℃  温控仪调节精度为：±1％。；</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3.9 </w:t>
      </w:r>
      <w:r>
        <w:rPr>
          <w:rStyle w:val="9"/>
          <w:rFonts w:hint="eastAsia" w:ascii="宋体" w:hAnsi="宋体" w:eastAsia="宋体" w:cs="宋体"/>
          <w:b w:val="0"/>
          <w:bCs w:val="0"/>
          <w:sz w:val="21"/>
          <w:szCs w:val="21"/>
          <w:highlight w:val="none"/>
          <w:lang w:eastAsia="zh-CN"/>
        </w:rPr>
        <w:t>智能数显式流量计；</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3.10 </w:t>
      </w:r>
      <w:r>
        <w:rPr>
          <w:rStyle w:val="9"/>
          <w:rFonts w:hint="eastAsia" w:ascii="宋体" w:hAnsi="宋体" w:eastAsia="宋体" w:cs="宋体"/>
          <w:b w:val="0"/>
          <w:bCs w:val="0"/>
          <w:sz w:val="21"/>
          <w:szCs w:val="21"/>
          <w:highlight w:val="none"/>
          <w:lang w:eastAsia="zh-CN"/>
        </w:rPr>
        <w:t>设有外置进水口，能准确调节水的温度，可连续工作，防止出现水温忽冷忽热的现象；</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 xml:space="preserve">3.11 </w:t>
      </w:r>
      <w:r>
        <w:rPr>
          <w:rStyle w:val="9"/>
          <w:rFonts w:hint="eastAsia" w:ascii="宋体" w:hAnsi="宋体" w:eastAsia="宋体" w:cs="宋体"/>
          <w:b w:val="0"/>
          <w:bCs w:val="0"/>
          <w:sz w:val="21"/>
          <w:szCs w:val="21"/>
          <w:highlight w:val="none"/>
          <w:lang w:eastAsia="zh-CN"/>
        </w:rPr>
        <w:t>设备水流量应能控制在为：60L／h～80L／h；</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 xml:space="preserve">3.12 </w:t>
      </w:r>
      <w:r>
        <w:rPr>
          <w:rStyle w:val="9"/>
          <w:rFonts w:hint="eastAsia" w:ascii="宋体" w:hAnsi="宋体" w:eastAsia="宋体" w:cs="宋体"/>
          <w:b w:val="0"/>
          <w:bCs w:val="0"/>
          <w:sz w:val="21"/>
          <w:szCs w:val="21"/>
          <w:highlight w:val="none"/>
          <w:lang w:eastAsia="zh-CN"/>
        </w:rPr>
        <w:t>压力表测量范围：0KPa～50KPa，显示精度为：±1％；</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水压达到10KPa时，设备进水指示灯应熄灭，进水阀关闭，确保使用安全；</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14</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设有流量计，洗肠过程中实时显示用水量；</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15</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使用过程中，当水的温度低于35℃、当超过39℃时，进水指示灯应熄灭，进水阀关闭；</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16</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报警装置，超压、超温、阻塞自动报警并自动停机保护；</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17</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冷热水混合系统；</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18</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高精度进水过滤系统；</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19</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水质过滤精度：5um；</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20</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自动压力显示以及安全保护系统；</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水流量自动调节，根据受洗者的感受，选择合适的流量，确保舒适安全；</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压力自动调节, 根据受洗者的感受，选择合适的压力，确保舒适安全；</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23</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定时范围及倒计时设定：按MODE键可设定定时范围的计时方式和时间单位（S为秒，M为分，H为小时）；</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24</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治疗定时器, 可以根据需要设定洗肠时间的长短，时间一到，提示音会自动响起；</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25</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臭氧水中臭氧的含量不小于0.025mg/L；</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26</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储存环境温度：-40℃～55℃，运行环境温度：5℃～40℃；</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27</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安全性能符合GB 9706.1—2007要求，电磁兼容符合YY 0505—2012的要求；</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28</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由观察窗、药液加注、消毒液瓶、污物出口、温控仪、流量计等组成（以注册证组成结构为准）；</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29</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一次性使用无菌肠导管为II类注册，具备单独注册证（符合医疗器械注册分类及管理办法）；</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30</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适应范围：主要适用于习惯性便秘、慢性结肠炎的治疗以及手术、肠镜检查的准备处理（以注册证适用范围为准）；</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31</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产品入选国家中医药管理局中医诊疗设备选型品目；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3.</w:t>
      </w:r>
      <w:r>
        <w:rPr>
          <w:rStyle w:val="9"/>
          <w:rFonts w:hint="eastAsia" w:ascii="宋体" w:hAnsi="宋体" w:eastAsia="宋体" w:cs="宋体"/>
          <w:b w:val="0"/>
          <w:bCs w:val="0"/>
          <w:sz w:val="21"/>
          <w:szCs w:val="21"/>
          <w:highlight w:val="none"/>
          <w:lang w:eastAsia="zh-CN"/>
        </w:rPr>
        <w:t>32</w:t>
      </w:r>
      <w:r>
        <w:rPr>
          <w:rStyle w:val="9"/>
          <w:rFonts w:hint="eastAsia" w:ascii="宋体" w:hAnsi="宋体" w:eastAsia="宋体" w:cs="宋体"/>
          <w:b w:val="0"/>
          <w:bCs w:val="0"/>
          <w:sz w:val="21"/>
          <w:szCs w:val="21"/>
          <w:highlight w:val="none"/>
          <w:lang w:val="en-US" w:eastAsia="zh-CN"/>
        </w:rPr>
        <w:t xml:space="preserve"> </w:t>
      </w:r>
      <w:r>
        <w:rPr>
          <w:rStyle w:val="9"/>
          <w:rFonts w:hint="eastAsia" w:ascii="宋体" w:hAnsi="宋体" w:eastAsia="宋体" w:cs="宋体"/>
          <w:b w:val="0"/>
          <w:bCs w:val="0"/>
          <w:sz w:val="21"/>
          <w:szCs w:val="21"/>
          <w:highlight w:val="none"/>
          <w:lang w:eastAsia="zh-CN"/>
        </w:rPr>
        <w:t>制造商通过IS09001及ISO13485产品质量管理体系认证。</w:t>
      </w:r>
      <w:r>
        <w:rPr>
          <w:rFonts w:hint="eastAsia" w:ascii="宋体" w:hAnsi="宋体" w:eastAsia="宋体" w:cs="宋体"/>
          <w:b/>
          <w:bCs/>
          <w:sz w:val="21"/>
          <w:szCs w:val="21"/>
          <w:highlight w:val="none"/>
          <w:lang w:val="en-US" w:eastAsia="zh-CN"/>
        </w:rPr>
        <w:t xml:space="preserve"> </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Style w:val="9"/>
          <w:rFonts w:hint="eastAsia" w:ascii="宋体" w:hAnsi="宋体" w:eastAsia="宋体" w:cs="宋体"/>
          <w:b/>
          <w:bCs/>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2" w:firstLineChars="200"/>
        <w:textAlignment w:val="baseline"/>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val="en-US" w:eastAsia="zh-CN"/>
        </w:rPr>
        <w:t>标项2 普通纤维支气管镜</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default"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1、普通纤维支气管镜3套</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2、主机技术要求</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▲2.1采用智能主控芯片，可无缝兼容窥视叶片手柄、硬管手柄、软管手柄，无需转接。</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 采用不小于3.5寸的广角高亮的触摸屏显示及操作。显示分辨率不低于640×480。可同时外接显示器。</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 主机内置多媒体系统，可拍照、录像、录音；可在主机上直接阅读、回放；具备USB、HDMI输出方式，方便科研、教学。</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 主机内置操作使用视频，方便临床医护人员快速掌握设备使用方法。</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 具有户外/户内环境模式，以适应不同插管环境。</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 内置锂电池，容量不低于2500mAh，具有电量管理功能。</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 主机与各种手柄均可带电一键插拔连接、分离，无需旋转，方便临床使用及携带。</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2.8 显示器能上下0º～130º转动，左右0º～270º转动，以方便特殊体位的操作。</w:t>
      </w:r>
    </w:p>
    <w:p>
      <w:pPr>
        <w:pStyle w:val="10"/>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 5.8软管手柄（带吸引通道）技术规格要求</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 采用数字电子成像技术，无内置光纤，视角≥90°，成像能力不低于16万像素。</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 xml:space="preserve">3.2 插入部外径≤5.8mm，内置吸引通道直径≥2.8mm,长度≥60cm。  </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 xml:space="preserve">3.3 软管前端可弯曲角度向上≥130°，向下≥130°    </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 xml:space="preserve">3.4 成像距离范围不小于2～50mm.   </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 软管具备防跌落、可任意弯曲性能，可浸泡消毒。</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3.6 与主机之间的连接方式采用一键插拔，无需旋转，利于临床抢救。</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3.7 吸引接口和吸引按键一体化设计，可整体拆卸，方便清洗消毒。</w:t>
      </w:r>
    </w:p>
    <w:p>
      <w:pPr>
        <w:pStyle w:val="10"/>
        <w:keepNext w:val="0"/>
        <w:keepLines w:val="0"/>
        <w:pageBreakBefore w:val="0"/>
        <w:widowControl/>
        <w:kinsoku/>
        <w:wordWrap/>
        <w:overflowPunct/>
        <w:topLinePunct w:val="0"/>
        <w:autoSpaceDE/>
        <w:autoSpaceDN/>
        <w:bidi w:val="0"/>
        <w:adjustRightInd/>
        <w:snapToGrid/>
        <w:spacing w:line="360" w:lineRule="auto"/>
        <w:ind w:left="0" w:leftChars="0"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3.8 特有的全金属手柄，可以带来更长的使用寿命和更好的握持感。</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4、配置清单（带通道软镜）</w:t>
      </w:r>
    </w:p>
    <w:tbl>
      <w:tblPr>
        <w:tblStyle w:val="5"/>
        <w:tblW w:w="6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3544"/>
        <w:gridCol w:w="874"/>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3544" w:type="dxa"/>
            <w:noWrap w:val="0"/>
            <w:vAlign w:val="center"/>
          </w:tcPr>
          <w:p>
            <w:pPr>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名称</w:t>
            </w:r>
          </w:p>
        </w:tc>
        <w:tc>
          <w:tcPr>
            <w:tcW w:w="874" w:type="dxa"/>
            <w:noWrap w:val="0"/>
            <w:vAlign w:val="center"/>
          </w:tcPr>
          <w:p>
            <w:pPr>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单位</w:t>
            </w:r>
          </w:p>
        </w:tc>
        <w:tc>
          <w:tcPr>
            <w:tcW w:w="1000" w:type="dxa"/>
            <w:noWrap w:val="0"/>
            <w:vAlign w:val="center"/>
          </w:tcPr>
          <w:p>
            <w:pPr>
              <w:jc w:val="center"/>
              <w:rPr>
                <w:rFonts w:ascii="宋体" w:hAnsi="宋体" w:eastAsia="宋体" w:cs="宋体"/>
                <w:b/>
                <w:bCs/>
                <w:sz w:val="21"/>
                <w:szCs w:val="21"/>
                <w:highlight w:val="none"/>
              </w:rPr>
            </w:pPr>
            <w:r>
              <w:rPr>
                <w:rFonts w:hint="eastAsia" w:ascii="宋体" w:hAnsi="宋体" w:eastAsia="宋体" w:cs="宋体"/>
                <w:b/>
                <w:bCs/>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便携箱</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个</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2</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主机</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台</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3</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软管手柄</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把</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4</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消毒密封塞</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个</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5</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钳道橡皮塞</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个</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6</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吸引按钮</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个</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7</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电源适配器</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个</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8</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数据线</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根</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9</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使用说明书</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本</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10</w:t>
            </w:r>
          </w:p>
        </w:tc>
        <w:tc>
          <w:tcPr>
            <w:tcW w:w="3544"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测漏器</w:t>
            </w:r>
          </w:p>
        </w:tc>
        <w:tc>
          <w:tcPr>
            <w:tcW w:w="874"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个</w:t>
            </w:r>
          </w:p>
        </w:tc>
        <w:tc>
          <w:tcPr>
            <w:tcW w:w="1000"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11</w:t>
            </w:r>
          </w:p>
        </w:tc>
        <w:tc>
          <w:tcPr>
            <w:tcW w:w="3544"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清洗刷</w:t>
            </w:r>
          </w:p>
        </w:tc>
        <w:tc>
          <w:tcPr>
            <w:tcW w:w="874"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根</w:t>
            </w:r>
          </w:p>
        </w:tc>
        <w:tc>
          <w:tcPr>
            <w:tcW w:w="1000"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12</w:t>
            </w:r>
          </w:p>
        </w:tc>
        <w:tc>
          <w:tcPr>
            <w:tcW w:w="3544"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消毒三通管</w:t>
            </w:r>
          </w:p>
        </w:tc>
        <w:tc>
          <w:tcPr>
            <w:tcW w:w="874"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根</w:t>
            </w:r>
          </w:p>
        </w:tc>
        <w:tc>
          <w:tcPr>
            <w:tcW w:w="1000" w:type="dxa"/>
            <w:noWrap w:val="0"/>
            <w:vAlign w:val="center"/>
          </w:tcPr>
          <w:p>
            <w:pPr>
              <w:jc w:val="center"/>
              <w:rPr>
                <w:rFonts w:ascii="宋体" w:hAnsi="宋体" w:eastAsia="宋体" w:cs="宋体"/>
                <w:color w:val="000000"/>
                <w:sz w:val="21"/>
                <w:szCs w:val="21"/>
                <w:highlight w:val="none"/>
              </w:rPr>
            </w:pPr>
            <w:r>
              <w:rPr>
                <w:rFonts w:hint="eastAsia" w:ascii="宋体" w:hAnsi="宋体" w:eastAsia="宋体" w:cs="宋体"/>
                <w:color w:val="00000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38"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13</w:t>
            </w:r>
          </w:p>
        </w:tc>
        <w:tc>
          <w:tcPr>
            <w:tcW w:w="354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合格证、产品质保卡、装箱清单</w:t>
            </w:r>
          </w:p>
        </w:tc>
        <w:tc>
          <w:tcPr>
            <w:tcW w:w="874"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份</w:t>
            </w:r>
          </w:p>
        </w:tc>
        <w:tc>
          <w:tcPr>
            <w:tcW w:w="1000" w:type="dxa"/>
            <w:noWrap w:val="0"/>
            <w:vAlign w:val="center"/>
          </w:tcPr>
          <w:p>
            <w:pPr>
              <w:jc w:val="center"/>
              <w:rPr>
                <w:rFonts w:ascii="宋体" w:hAnsi="宋体" w:eastAsia="宋体" w:cs="宋体"/>
                <w:sz w:val="21"/>
                <w:szCs w:val="21"/>
                <w:highlight w:val="none"/>
              </w:rPr>
            </w:pPr>
            <w:r>
              <w:rPr>
                <w:rFonts w:hint="eastAsia" w:ascii="宋体" w:hAnsi="宋体" w:eastAsia="宋体" w:cs="宋体"/>
                <w:sz w:val="21"/>
                <w:szCs w:val="21"/>
                <w:highlight w:val="none"/>
              </w:rPr>
              <w:t>1</w:t>
            </w:r>
          </w:p>
        </w:tc>
      </w:tr>
    </w:tbl>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val="en-US" w:eastAsia="zh-CN"/>
        </w:rPr>
        <w:t>标项3 眼底激光</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1、项目描述 ：眼底激光治疗仪1套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1.1适用范围：应用于眼科后节病变的光凝治疗。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2、主要技术参数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激光波长：532nm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激光颜色：绿色</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激光能量：1.2W</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激光类型：半导体泵浦倍频Nd:YAG激光</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能量调节：连续可调</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曝光时间：0.02s-60s</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▲2.7 光斑大小：50-500μm无级连续可调</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2.8 激光传导技术：Parfocal光路传导技术，光斑中心及周边能量分布均匀</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★2.9 发射模式：单发、重复、连续、Painting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2.10 连发间隔：0.02s/0.1s/0.2s/0.3s/0.5s/0.7s</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2.11 瞄准光二极管：650nm红光，功率&lt;1.0mW</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2.12 冷却方式：帕尔贴半导体冷却</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★2.13 脚踏：全功能脚踏，可控制发射状态、发射模式、发射间隔、激光功率、瞄准光亮度</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2.14 参数记忆：可存储60组治疗参数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▲2.15 眼内光纤探头类型：直型、弯型、弯直调节型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2.16 眼内光纤探头大小：20G、23G、25G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★2.17 拓展性：可连接YAG激光，组成前后节激光治疗平台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3、配置要求</w:t>
      </w:r>
    </w:p>
    <w:p>
      <w:pPr>
        <w:pStyle w:val="10"/>
        <w:keepNext w:val="0"/>
        <w:keepLines w:val="0"/>
        <w:pageBreakBefore w:val="0"/>
        <w:widowControl/>
        <w:kinsoku/>
        <w:wordWrap/>
        <w:overflowPunct/>
        <w:topLinePunct w:val="0"/>
        <w:autoSpaceDE/>
        <w:autoSpaceDN/>
        <w:bidi w:val="0"/>
        <w:adjustRightInd/>
        <w:snapToGrid/>
        <w:spacing w:line="360" w:lineRule="auto"/>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 激光主机1套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 脚踏开关</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 裂隙灯1套</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 23G光纤2根</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激光防护眼镜1个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bCs/>
          <w:sz w:val="21"/>
          <w:szCs w:val="21"/>
          <w:highlight w:val="none"/>
          <w:lang w:val="en-US" w:eastAsia="zh-CN"/>
        </w:rPr>
        <w:t>标项4 心电监护仪</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1、适用于对临床科室，成人、小儿、新生儿的生理参数监测。在国家注册中无病人类型的限制，并提供注册证材料。</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2、技术参数、功能及配置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2.3</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显示屏为≥8英寸，可同屏显示6道以上波形；</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2.4</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具有成人、儿童和新生儿模式，中文操作界面；</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2.5</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监护配置具有：心电、呼吸、无创血压、血氧饱和度、脉搏、双道体温功能；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2.6</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 xml:space="preserve">具备智能导联脱落监测功能，个别导联脱落的情况下仍能保持监护；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2.8</w:t>
      </w:r>
      <w:r>
        <w:rPr>
          <w:rStyle w:val="9"/>
          <w:rFonts w:hint="eastAsia" w:ascii="宋体" w:hAnsi="宋体" w:eastAsia="宋体" w:cs="宋体"/>
          <w:b w:val="0"/>
          <w:bCs w:val="0"/>
          <w:sz w:val="21"/>
          <w:szCs w:val="21"/>
          <w:highlight w:val="none"/>
          <w:lang w:val="en-US" w:eastAsia="zh-CN"/>
        </w:rPr>
        <w:tab/>
      </w:r>
      <w:r>
        <w:rPr>
          <w:rStyle w:val="9"/>
          <w:rFonts w:hint="eastAsia" w:ascii="宋体" w:hAnsi="宋体" w:eastAsia="宋体" w:cs="宋体"/>
          <w:b w:val="0"/>
          <w:bCs w:val="0"/>
          <w:sz w:val="21"/>
          <w:szCs w:val="21"/>
          <w:highlight w:val="none"/>
          <w:lang w:val="en-US" w:eastAsia="zh-CN"/>
        </w:rPr>
        <w:t>具备起搏信号自动识别功能；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★2.9 心律算法具备20种心律失常分析和房颤分析功能；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2.11 采用ASIC芯片集成技术；</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2.12 具备ECG多导同步分析功能，同时分析多个心电导联，个别导联干扰情况下仍能准确监测；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2.13 可显示PI血氧灌注指数，有效反映血氧灌注情况；</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2.14 配置3/5导心电监护，支持心率，ST段测量，心律失常分析，QT/QTc连续实时测量，适用于成人，小儿和新生儿，提供注册证证明材料；</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★2.15 NIBP可选择初始充气压力，提升测量的准确性和患者舒适性；提供手动，自动，连续和序列4种测量模式，满足临床应用，并提供产品界面截图证明材料；</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2.16 具有待机功能，暂时停止所有监护操作，节省功耗．退出该状态，就可立即进行监护；</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2.17 具有脉搏调制音，通过心跳声音的音调变化来判断血氧饱和度的高低变化,使医护人员从听觉中获取病人生命体征；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2.18 可支持每台监护≥48小时全息波形回顾，≥96小时以上趋势回顾；</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2.19 具备趋势共存界面、呼吸氧合图界面，大字体显示界面，及标准显示界面等多种显示界面</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2.20 具有智能化自定义事件报警；</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2.21 可连接鼠标与键盘，支持中文输入；</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2.22 声光双重三级报警，同屏显示报警上下限，技术报警和生理报警分别有各自的报警指示灯；</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 xml:space="preserve">2.23 要求监护仪无风扇设计，防止病原体通过风扇形成的气流扩散传播，防止交叉感染；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★2.24 ECG、SPO2、NIBP、TEMP参数为CF型；</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2.25 标配IPX7级防水血氧探头；</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2.26 监护仪设计使用年限≥8年，提供机器标贴证明材料；</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★2.27 监护仪入选中国医学装备协会优秀国产医疗设备产品目录，并提供证书复印件。</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3、监护仪性能指标：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 心电指标：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3.1.1 导联模式： 三导联模式及五导联模式可切换；</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3.1.2 导联方式：I，II，III，avR,avL,avF,V；</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3.1.3 增益：x0.125、x0.25 、x0.5 、x1、 x2及自动；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3.1.4 心率：15-300BPM；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3.1.5 具有心律失常，起搏分析，S-T段分析功能；</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 呼吸指标：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3.2.1 方式：阻抗法（RA-LL/LA-RA）；</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3.2.2 呼吸率：0-120BPM 分辨率：1BPM  精度：2BPM；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3.2.3 增益: ×0.25,×0.5,×1,×2×3,×4,×5；</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 无创血压指标：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3.3.1 测量方法：振荡法；</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3.3.2 工作模式：手动/自动/连续；</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3.3.3 测量和报警范围：</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收缩压：40-260mmHg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平均压：20-230mmHg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舒张压：10-200mmHg；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3.3.4 精度：±1mmHg；</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3.3.5 支持同屏显示多组血压测量结果；</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 血氧饱和度指标：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3.4.1 测量范围：0-100%；</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3.4.2 准确度：±2%；</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3.4.3 脉搏指标：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3.4.4 测量范围：20-250 bpm；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3.4.5 精度：±2bpm；</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 体温指标：</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3.5.1 显示通道数：两通道；</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3.5.2 测量和报警范围：0-50℃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3.5.3 精度：±0.1℃；</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4、配置及其它要求：</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4.1 列出详细的设备配置清单；</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4.2 小儿科用的监护要求血压，血氧，心电均为新生儿配置，其他科室为成人配置；</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4.3 标书中未提及的某些属标配的功能、软件，必须无条件提供，提供操作手册；</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r>
        <w:rPr>
          <w:rStyle w:val="9"/>
          <w:rFonts w:hint="eastAsia" w:ascii="宋体" w:hAnsi="宋体" w:eastAsia="宋体" w:cs="宋体"/>
          <w:b w:val="0"/>
          <w:bCs w:val="0"/>
          <w:sz w:val="21"/>
          <w:szCs w:val="21"/>
          <w:highlight w:val="none"/>
          <w:lang w:val="en-US" w:eastAsia="zh-CN"/>
        </w:rPr>
        <w:t>4.4 提供监护仪的医疗器械注册证，产品注册登记表。</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val="en-US" w:eastAsia="zh-CN"/>
        </w:rPr>
      </w:pPr>
    </w:p>
    <w:p>
      <w:pPr>
        <w:pStyle w:val="10"/>
        <w:keepNext w:val="0"/>
        <w:keepLines w:val="0"/>
        <w:pageBreakBefore w:val="0"/>
        <w:widowControl/>
        <w:kinsoku/>
        <w:wordWrap/>
        <w:overflowPunct/>
        <w:topLinePunct w:val="0"/>
        <w:autoSpaceDE/>
        <w:autoSpaceDN/>
        <w:bidi w:val="0"/>
        <w:adjustRightInd/>
        <w:snapToGrid/>
        <w:spacing w:line="360" w:lineRule="auto"/>
        <w:ind w:firstLine="422"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bCs/>
          <w:sz w:val="21"/>
          <w:szCs w:val="21"/>
          <w:highlight w:val="none"/>
          <w:lang w:val="en-US" w:eastAsia="zh-CN"/>
        </w:rPr>
        <w:t>标项5 数字胃肠</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1、</w:t>
      </w:r>
      <w:r>
        <w:rPr>
          <w:rStyle w:val="9"/>
          <w:rFonts w:hint="eastAsia" w:ascii="宋体" w:hAnsi="宋体" w:eastAsia="宋体" w:cs="宋体"/>
          <w:b w:val="0"/>
          <w:bCs w:val="0"/>
          <w:sz w:val="21"/>
          <w:szCs w:val="21"/>
          <w:highlight w:val="none"/>
          <w:lang w:eastAsia="zh-CN"/>
        </w:rPr>
        <w:t>设备用途：</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该设备应满足数字透视、数字摄影、消化系造影、泌尿系造影、子宫输卵管造影、ERCP检查等常规放射诊断及治疗的需要。</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主要部件及性能参数:</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1</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高压发生器</w:t>
      </w:r>
      <w:r>
        <w:rPr>
          <w:rStyle w:val="9"/>
          <w:rFonts w:hint="eastAsia" w:ascii="宋体" w:hAnsi="宋体" w:eastAsia="宋体" w:cs="宋体"/>
          <w:b w:val="0"/>
          <w:bCs w:val="0"/>
          <w:sz w:val="21"/>
          <w:szCs w:val="21"/>
          <w:highlight w:val="none"/>
          <w:lang w:eastAsia="zh-CN"/>
        </w:rPr>
        <w:tab/>
      </w:r>
      <w:r>
        <w:rPr>
          <w:rStyle w:val="9"/>
          <w:rFonts w:hint="eastAsia" w:ascii="宋体" w:hAnsi="宋体" w:eastAsia="宋体" w:cs="宋体"/>
          <w:b w:val="0"/>
          <w:bCs w:val="0"/>
          <w:sz w:val="21"/>
          <w:szCs w:val="21"/>
          <w:highlight w:val="none"/>
          <w:lang w:eastAsia="zh-CN"/>
        </w:rPr>
        <w:tab/>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1.1 高压产生方式 高频逆变，≥50kHz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1.2 最大标称功率 ≥50kW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1.3 最短曝光时间 ≤1ms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1.4 最大输出电流 ≥630MA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1.5 最大输出电压 ≥125Kv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1.6 透视方式 具备脉冲透视及连续透视两种方式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1.7 摄影方式 具备点片摄影／直接摄影／连续摄影功能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 X线球管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2.1 类型 大容量胃肠机专用球管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2.2 热容量 ≥400kHu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2.3 冷却方式 油冷却或风循环冷却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2.4 焦点 双焦点，小焦点0.6mm，大焦点1.2mm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2.5 小焦点功率 ≥38kW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2.6 大焦点功率 &gt;90kW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2.7 球管转速 ≥9500转/S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 检查床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3.1 床体材料 增强碳纤维床面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3.2 床体最大承重 ≥135kg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3.3 床体四周可接触患者 要求满足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3.4 床体倾斜角度 ≥－30/+90度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3.5 床面侧向移动范围 ≥22cm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3.6 影像系统移动范围 ≥90cm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3.7 覆盖范围 ≥135cm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3.8 床面可升降，高度可变 69～95 cm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3.9 倾斜投照角度 ≥ ±30度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3.10 最大SID ≥150 cm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3.11  压迫筒 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 平板探测器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4.1 材料 碘化铯/非晶硅(动态平板且可移至床体外)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4.2 像素大小 ≤160μm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4.3 有效视野 ≥ 35 x 43 cm四视野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4.4 像素数目 ≥2,208×2,688pixels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4.5 空间分辨率 ≥3.1lp/mm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4.6 灰阶等级 ≥14 bit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4.7 速率 ≥ 15f/s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4.8 平板旋转功能 平板可在床体内进行90°旋转，满足肥胖病人胸部摄影需求。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4.9 平板自由移动摄影 平板可移至床体外，配合病人体位进行摄影。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 数字图像处理系统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5.1 透视采集矩阵及速度 ≥15 f/s @1024 x 1024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5.2 亮度自动控制功能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5.3 最大脉冲透视速率 ≥15 f/s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5.4 最后图像保持 要求具有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5.5 摄影采集速率 ≥15f/s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5.6 数字分隔摄影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5.7 硬盘存储 ≥80000f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5.8 图像外部存储 DVD-R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5.9 操作界面 Windows 系统，鼠标键盘操作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5.10 网络连通性 DICOM打印/存储/工作表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5.11 工作站硬件配置 CPU≥2.8G,内存≥10G，硬盘≥1T.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 图像处理功能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6.1 实时动态高亮度控制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6.2 实时动态图像显示、回放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6.3 实时边缘增强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6.4 动态减噪功能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6.5 窗宽、窗位调整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6.6 图像放大及漫游显示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6.7 多幅显示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6.8 gamma 校正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6.9 黑白反转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6.10 左右翻转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6.11 电子束光器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6.12 测量功能及注释功能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6.13 动态图像回放时可进行：正反像切换，文字标注，比例尺显示，箭头指示。  具有</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6.14 采集图像电影回放；回放速度任意可调；并可逐帧回放。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6.15 透视图像实时存储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7 图像显示系统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7.1 操作台监视器台数 1台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7.2 监视器要求 ≥19"医用LCD，可视角≥120º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8 附件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8.1 对讲系统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val="0"/>
          <w:bCs w:val="0"/>
          <w:sz w:val="21"/>
          <w:szCs w:val="21"/>
          <w:highlight w:val="none"/>
          <w:lang w:eastAsia="zh-CN"/>
        </w:rPr>
      </w:pP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 xml:space="preserve">8.2 脚踏板、肩托架、手柄、钡餐杯，独立近控台1台，2M显示器1台，3M平达显示器2台。 具有 </w:t>
      </w:r>
    </w:p>
    <w:p>
      <w:pPr>
        <w:pStyle w:val="10"/>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baseline"/>
        <w:rPr>
          <w:rStyle w:val="9"/>
          <w:rFonts w:hint="eastAsia" w:ascii="宋体" w:hAnsi="宋体" w:eastAsia="宋体" w:cs="宋体"/>
          <w:b/>
          <w:bCs/>
          <w:sz w:val="21"/>
          <w:szCs w:val="21"/>
          <w:highlight w:val="none"/>
          <w:lang w:eastAsia="zh-CN"/>
        </w:rPr>
      </w:pPr>
      <w:r>
        <w:rPr>
          <w:rStyle w:val="9"/>
          <w:rFonts w:hint="eastAsia" w:ascii="宋体" w:hAnsi="宋体" w:eastAsia="宋体" w:cs="宋体"/>
          <w:b w:val="0"/>
          <w:bCs w:val="0"/>
          <w:sz w:val="21"/>
          <w:szCs w:val="21"/>
          <w:highlight w:val="none"/>
          <w:lang w:eastAsia="zh-CN"/>
        </w:rPr>
        <w:t>▲</w:t>
      </w:r>
      <w:r>
        <w:rPr>
          <w:rStyle w:val="9"/>
          <w:rFonts w:hint="eastAsia" w:ascii="宋体" w:hAnsi="宋体" w:eastAsia="宋体" w:cs="宋体"/>
          <w:b w:val="0"/>
          <w:bCs w:val="0"/>
          <w:sz w:val="21"/>
          <w:szCs w:val="21"/>
          <w:highlight w:val="none"/>
          <w:lang w:val="en-US" w:eastAsia="zh-CN"/>
        </w:rPr>
        <w:t>2.</w:t>
      </w:r>
      <w:r>
        <w:rPr>
          <w:rStyle w:val="9"/>
          <w:rFonts w:hint="eastAsia" w:ascii="宋体" w:hAnsi="宋体" w:eastAsia="宋体" w:cs="宋体"/>
          <w:b w:val="0"/>
          <w:bCs w:val="0"/>
          <w:sz w:val="21"/>
          <w:szCs w:val="21"/>
          <w:highlight w:val="none"/>
          <w:lang w:eastAsia="zh-CN"/>
        </w:rPr>
        <w:t>8.3 高压发生器、球管、等主要部件为同一厂家生产且与主机品牌一致。 具有</w:t>
      </w:r>
    </w:p>
    <w:p>
      <w:pPr>
        <w:pStyle w:val="10"/>
        <w:spacing w:line="360" w:lineRule="auto"/>
        <w:ind w:firstLineChars="0"/>
        <w:rPr>
          <w:rStyle w:val="9"/>
          <w:rFonts w:ascii="宋体" w:hAnsi="宋体" w:eastAsia="宋体" w:cs="宋体"/>
          <w:b/>
          <w:bCs/>
          <w:sz w:val="21"/>
          <w:szCs w:val="21"/>
          <w:highlight w:val="none"/>
        </w:rPr>
      </w:pPr>
    </w:p>
    <w:p>
      <w:pPr>
        <w:pStyle w:val="10"/>
        <w:spacing w:line="360" w:lineRule="auto"/>
        <w:ind w:firstLineChars="0"/>
        <w:rPr>
          <w:rStyle w:val="9"/>
          <w:rFonts w:hint="eastAsia" w:ascii="宋体" w:hAnsi="宋体" w:eastAsia="宋体" w:cs="宋体"/>
          <w:b/>
          <w:bCs/>
          <w:sz w:val="21"/>
          <w:szCs w:val="21"/>
          <w:highlight w:val="none"/>
          <w:lang w:val="en-US" w:eastAsia="zh-CN"/>
        </w:rPr>
      </w:pPr>
      <w:r>
        <w:rPr>
          <w:rStyle w:val="9"/>
          <w:rFonts w:hint="eastAsia" w:ascii="宋体" w:hAnsi="宋体" w:eastAsia="宋体" w:cs="宋体"/>
          <w:b/>
          <w:bCs/>
          <w:sz w:val="21"/>
          <w:szCs w:val="21"/>
          <w:highlight w:val="none"/>
          <w:lang w:eastAsia="zh-CN"/>
        </w:rPr>
        <w:t>标项</w:t>
      </w:r>
      <w:r>
        <w:rPr>
          <w:rStyle w:val="9"/>
          <w:rFonts w:hint="eastAsia" w:ascii="宋体" w:hAnsi="宋体" w:eastAsia="宋体" w:cs="宋体"/>
          <w:b/>
          <w:bCs/>
          <w:sz w:val="21"/>
          <w:szCs w:val="21"/>
          <w:highlight w:val="none"/>
          <w:lang w:val="en-US" w:eastAsia="zh-CN"/>
        </w:rPr>
        <w:t>6荧光免疫分析仪</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1.设备名称：全自动化学发光免疫分析仪</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2.检测原理：AMPPD—ALP磁微粒化学发光</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3.检测速度：≥50测试/小时(60测试/h)</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4.首个报告时间：≤15min</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5.样本位：≥8个样本位(10个样本位)</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★6.试剂位： ≥8个试剂位（10个试剂位）（可同时检测≥8个项目），具有恒温（2-8℃）冷藏功能</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7.反应杯：可同时放置≥60个反应杯（63个），支持暂停加载。</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8.运行方式：随机/批量/急诊</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★9.分析灵敏度（最低检出浓度）:B型脑钠肽（BNP） ≤15pg/ml；超敏肌钙蛋白I（hs-cTnI）≤0.01ng/ml</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★10.准确度：相对偏差≤±10%；</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★11.重复性（批内精密度）：变异系数CV≤8%；</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★12.批间差：变异系数CV≤10%；</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13.产品有效期≥12个月（18个月）</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14.仪器长宽尺寸要求≤600毫米（568*555）</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★15.检测项目：可同时检测N末端B型脑钠肽前提（NT-proBNP）、B型脑钠肽（BNP）、超敏肌钙蛋白I（hs-cTnI）、肌红蛋白（MYO）、肌酸激酶同工酶（CK-MB）、D-二聚体（D-Dimer）、降钙素原（PCT）、白介素-6（IL-6）等</w:t>
      </w:r>
      <w:r>
        <w:rPr>
          <w:rStyle w:val="9"/>
          <w:rFonts w:hint="eastAsia" w:ascii="宋体" w:hAnsi="宋体" w:eastAsia="宋体" w:cs="宋体"/>
          <w:b w:val="0"/>
          <w:bCs w:val="0"/>
          <w:sz w:val="21"/>
          <w:szCs w:val="21"/>
          <w:highlight w:val="none"/>
          <w:lang w:val="en-US" w:eastAsia="zh-CN"/>
        </w:rPr>
        <w:t>；</w:t>
      </w:r>
    </w:p>
    <w:p>
      <w:pPr>
        <w:pStyle w:val="10"/>
        <w:spacing w:line="360" w:lineRule="auto"/>
        <w:ind w:firstLineChars="0"/>
        <w:rPr>
          <w:rStyle w:val="9"/>
          <w:rFonts w:hint="default" w:ascii="宋体" w:hAnsi="宋体" w:eastAsia="宋体" w:cs="宋体"/>
          <w:b w:val="0"/>
          <w:bCs w:val="0"/>
          <w:sz w:val="21"/>
          <w:szCs w:val="21"/>
          <w:highlight w:val="none"/>
          <w:lang w:val="en-US" w:eastAsia="zh-CN"/>
        </w:rPr>
      </w:pPr>
      <w:r>
        <w:rPr>
          <w:rStyle w:val="9"/>
          <w:rFonts w:hint="default" w:ascii="宋体" w:hAnsi="宋体" w:eastAsia="宋体" w:cs="宋体"/>
          <w:b w:val="0"/>
          <w:bCs w:val="0"/>
          <w:sz w:val="21"/>
          <w:szCs w:val="21"/>
          <w:highlight w:val="none"/>
          <w:lang w:val="en-US" w:eastAsia="zh-CN"/>
        </w:rPr>
        <w:t>★16.质量控制：具有SFDA注册证的原厂质控品。</w:t>
      </w:r>
    </w:p>
    <w:p>
      <w:pPr>
        <w:pStyle w:val="10"/>
        <w:spacing w:line="360" w:lineRule="auto"/>
        <w:ind w:firstLineChars="0"/>
        <w:rPr>
          <w:rStyle w:val="9"/>
          <w:rFonts w:ascii="宋体" w:hAnsi="宋体" w:eastAsia="宋体" w:cs="宋体"/>
          <w:b/>
          <w:bCs/>
          <w:sz w:val="21"/>
          <w:szCs w:val="21"/>
          <w:highlight w:val="none"/>
        </w:rPr>
      </w:pPr>
    </w:p>
    <w:p>
      <w:pPr>
        <w:pStyle w:val="10"/>
        <w:spacing w:line="360" w:lineRule="auto"/>
        <w:ind w:firstLineChars="0"/>
        <w:rPr>
          <w:rStyle w:val="9"/>
          <w:rFonts w:ascii="宋体" w:hAnsi="宋体" w:eastAsia="宋体" w:cs="宋体"/>
          <w:b/>
          <w:bCs/>
          <w:sz w:val="21"/>
          <w:szCs w:val="21"/>
          <w:highlight w:val="none"/>
        </w:rPr>
      </w:pPr>
      <w:r>
        <w:rPr>
          <w:rStyle w:val="9"/>
          <w:rFonts w:ascii="宋体" w:hAnsi="宋体" w:eastAsia="宋体" w:cs="宋体"/>
          <w:b/>
          <w:bCs/>
          <w:sz w:val="21"/>
          <w:szCs w:val="21"/>
          <w:highlight w:val="none"/>
        </w:rPr>
        <w:t>三、商务条款</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rPr>
        <w:t>1.</w:t>
      </w:r>
      <w:r>
        <w:rPr>
          <w:rStyle w:val="9"/>
          <w:rFonts w:hAnsi="宋体"/>
          <w:sz w:val="21"/>
          <w:szCs w:val="21"/>
          <w:highlight w:val="none"/>
          <w:lang w:val="en-GB"/>
        </w:rPr>
        <w:t>交货期：</w:t>
      </w:r>
      <w:r>
        <w:rPr>
          <w:rStyle w:val="9"/>
          <w:rFonts w:hint="eastAsia" w:hAnsi="宋体"/>
          <w:sz w:val="21"/>
          <w:szCs w:val="21"/>
          <w:highlight w:val="none"/>
          <w:lang w:val="en-GB" w:eastAsia="zh-CN"/>
        </w:rPr>
        <w:t>接到采购人供货通知后30日历天内完成供货及安装</w:t>
      </w:r>
      <w:r>
        <w:rPr>
          <w:rStyle w:val="9"/>
          <w:rFonts w:hAnsi="宋体"/>
          <w:sz w:val="21"/>
          <w:szCs w:val="21"/>
          <w:highlight w:val="none"/>
          <w:lang w:val="en-GB"/>
        </w:rPr>
        <w:t>。</w:t>
      </w:r>
    </w:p>
    <w:p>
      <w:pPr>
        <w:pStyle w:val="11"/>
        <w:spacing w:line="360" w:lineRule="auto"/>
        <w:ind w:firstLine="420" w:firstLineChars="200"/>
        <w:rPr>
          <w:rStyle w:val="9"/>
          <w:rFonts w:hint="default" w:hAnsi="宋体" w:eastAsia="宋体"/>
          <w:sz w:val="21"/>
          <w:szCs w:val="21"/>
          <w:highlight w:val="none"/>
          <w:lang w:val="en-US" w:eastAsia="zh-CN"/>
        </w:rPr>
      </w:pPr>
      <w:r>
        <w:rPr>
          <w:rStyle w:val="9"/>
          <w:rFonts w:hAnsi="宋体"/>
          <w:sz w:val="21"/>
          <w:szCs w:val="21"/>
          <w:highlight w:val="none"/>
        </w:rPr>
        <w:t>2.</w:t>
      </w:r>
      <w:r>
        <w:rPr>
          <w:rStyle w:val="9"/>
          <w:rFonts w:hAnsi="宋体"/>
          <w:sz w:val="21"/>
          <w:szCs w:val="21"/>
          <w:highlight w:val="none"/>
          <w:lang w:val="en-GB"/>
        </w:rPr>
        <w:t>质保期：</w:t>
      </w:r>
      <w:r>
        <w:rPr>
          <w:rStyle w:val="9"/>
          <w:rFonts w:hint="eastAsia"/>
          <w:sz w:val="21"/>
          <w:highlight w:val="none"/>
          <w:lang w:val="en-US" w:eastAsia="zh-CN"/>
        </w:rPr>
        <w:t>各标项技术参数中有涉及质保期要求的按标项技术参数中的要求执行，未涉及的按1年执行。</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3</w:t>
      </w:r>
      <w:r>
        <w:rPr>
          <w:rStyle w:val="9"/>
          <w:rFonts w:hAnsi="宋体"/>
          <w:sz w:val="21"/>
          <w:szCs w:val="21"/>
          <w:highlight w:val="none"/>
        </w:rPr>
        <w:t>.</w:t>
      </w:r>
      <w:r>
        <w:rPr>
          <w:rStyle w:val="9"/>
          <w:rFonts w:hAnsi="宋体"/>
          <w:sz w:val="21"/>
          <w:szCs w:val="21"/>
          <w:highlight w:val="none"/>
          <w:lang w:val="en-GB"/>
        </w:rPr>
        <w:t>交货地点：采购方指定地点。</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4</w:t>
      </w:r>
      <w:r>
        <w:rPr>
          <w:rStyle w:val="9"/>
          <w:rFonts w:hAnsi="宋体"/>
          <w:sz w:val="21"/>
          <w:szCs w:val="21"/>
          <w:highlight w:val="none"/>
        </w:rPr>
        <w:t>.</w:t>
      </w:r>
      <w:r>
        <w:rPr>
          <w:rStyle w:val="9"/>
          <w:rFonts w:hAnsi="宋体"/>
          <w:sz w:val="21"/>
          <w:szCs w:val="21"/>
          <w:highlight w:val="none"/>
          <w:lang w:val="en-GB"/>
        </w:rPr>
        <w:t>付款方式：合同签订后15个工作日支付合同款的30%作为预付款，设备安装调试完成及项目终验合格后且乙方培训结束、使用方操作人员能熟练操作后，由乙方根据资金支付程序进行支付审批，审批完成后，甲方凭乙方向使用方缴纳的质保金凭据在30个工作日内付至合同款的100%。</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5</w:t>
      </w:r>
      <w:r>
        <w:rPr>
          <w:rStyle w:val="9"/>
          <w:rFonts w:hAnsi="宋体"/>
          <w:sz w:val="21"/>
          <w:szCs w:val="21"/>
          <w:highlight w:val="none"/>
        </w:rPr>
        <w:t>.</w:t>
      </w:r>
      <w:r>
        <w:rPr>
          <w:rStyle w:val="9"/>
          <w:rFonts w:hAnsi="宋体"/>
          <w:sz w:val="21"/>
          <w:szCs w:val="21"/>
          <w:highlight w:val="none"/>
          <w:lang w:val="en-GB"/>
        </w:rPr>
        <w:t xml:space="preserve">安装标准：有安装经验的工程师负责安装；符合国家有关安全技术规范和技术标准。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6</w:t>
      </w:r>
      <w:r>
        <w:rPr>
          <w:rStyle w:val="9"/>
          <w:rFonts w:hAnsi="宋体"/>
          <w:sz w:val="21"/>
          <w:szCs w:val="21"/>
          <w:highlight w:val="none"/>
        </w:rPr>
        <w:t>.</w:t>
      </w:r>
      <w:r>
        <w:rPr>
          <w:rStyle w:val="9"/>
          <w:rFonts w:hAnsi="宋体"/>
          <w:sz w:val="21"/>
          <w:szCs w:val="21"/>
          <w:highlight w:val="none"/>
          <w:lang w:val="en-GB"/>
        </w:rPr>
        <w:t>验收标准：应与产品原始样本技术数据及标书技术文件一致，符合国家有关技术规范和技术标准。</w:t>
      </w:r>
    </w:p>
    <w:p>
      <w:pPr>
        <w:pStyle w:val="11"/>
        <w:spacing w:line="312" w:lineRule="auto"/>
        <w:ind w:firstLine="316" w:firstLineChars="150"/>
        <w:rPr>
          <w:rStyle w:val="9"/>
          <w:rFonts w:hAnsi="宋体"/>
          <w:b/>
          <w:sz w:val="21"/>
          <w:szCs w:val="21"/>
          <w:highlight w:val="none"/>
          <w:lang w:val="en-GB"/>
        </w:rPr>
      </w:pPr>
      <w:r>
        <w:rPr>
          <w:rStyle w:val="9"/>
          <w:rFonts w:hAnsi="宋体"/>
          <w:b/>
          <w:sz w:val="21"/>
          <w:szCs w:val="21"/>
          <w:highlight w:val="none"/>
          <w:lang w:val="en-GB"/>
        </w:rPr>
        <w:t>四、售后服务</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1.设备生产厂家或国内总代在浙江省有售后服务机构，有专职工程师提供技术及售后服务：保修期外仍有厂方或代理方派专职工程师对仪器进行维护和维修。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2.维修响应时间2小时，24小时内到达用户现场进行维修，3个工作日内未修复者无偿提供备用设备。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3.设备安装后免费提供厂方操作和维修培训至医院满意为止。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 xml:space="preserve">4.提供用户中文操作手册和维修手册，提供厂家相应data sheet等相关资料，提供免费软件升级，并及时提供设备新功能和临床应用的资料。 </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5.提供至少每年2次的上门定期回访和进行相关维护。</w:t>
      </w:r>
    </w:p>
    <w:p>
      <w:pPr>
        <w:pStyle w:val="11"/>
        <w:spacing w:line="360" w:lineRule="auto"/>
        <w:ind w:firstLine="420" w:firstLineChars="200"/>
        <w:rPr>
          <w:rStyle w:val="9"/>
          <w:rFonts w:hAnsi="宋体"/>
          <w:sz w:val="21"/>
          <w:szCs w:val="21"/>
          <w:highlight w:val="none"/>
          <w:lang w:val="en-GB"/>
        </w:rPr>
      </w:pPr>
      <w:r>
        <w:rPr>
          <w:rStyle w:val="9"/>
          <w:rFonts w:hAnsi="宋体"/>
          <w:sz w:val="21"/>
          <w:szCs w:val="21"/>
          <w:highlight w:val="none"/>
          <w:lang w:val="en-GB"/>
        </w:rPr>
        <w:t>6.销售方在医院所在地区至少有2名以上常驻工作人员。</w:t>
      </w:r>
    </w:p>
    <w:p>
      <w:pPr>
        <w:pStyle w:val="11"/>
        <w:spacing w:line="360" w:lineRule="auto"/>
        <w:ind w:firstLine="420" w:firstLineChars="200"/>
        <w:rPr>
          <w:rStyle w:val="9"/>
          <w:rFonts w:hAnsi="宋体"/>
          <w:sz w:val="21"/>
          <w:szCs w:val="21"/>
          <w:highlight w:val="none"/>
        </w:rPr>
      </w:pPr>
      <w:r>
        <w:rPr>
          <w:rStyle w:val="9"/>
          <w:rFonts w:hAnsi="宋体"/>
          <w:sz w:val="21"/>
          <w:szCs w:val="21"/>
          <w:highlight w:val="none"/>
        </w:rPr>
        <w:t>7.设备验收合格使用后保证供应医院零配件至少8年。</w:t>
      </w:r>
    </w:p>
    <w:p>
      <w:pPr>
        <w:pStyle w:val="11"/>
        <w:spacing w:line="360" w:lineRule="auto"/>
        <w:ind w:firstLine="420" w:firstLineChars="200"/>
        <w:rPr>
          <w:rStyle w:val="9"/>
          <w:rFonts w:hAnsi="宋体"/>
          <w:sz w:val="21"/>
          <w:szCs w:val="21"/>
          <w:highlight w:val="none"/>
        </w:rPr>
      </w:pPr>
      <w:r>
        <w:rPr>
          <w:rStyle w:val="9"/>
          <w:rFonts w:hAnsi="宋体"/>
          <w:sz w:val="21"/>
          <w:szCs w:val="21"/>
          <w:highlight w:val="none"/>
        </w:rPr>
        <w:t>8.投标人售后质保服务内容与生产厂家或国内总代售后质保服务内容不一致的，以生产厂家或国内总代的售后质保服务内容为准。</w:t>
      </w:r>
    </w:p>
    <w:p>
      <w:pPr>
        <w:pStyle w:val="2"/>
        <w:spacing w:line="360" w:lineRule="auto"/>
        <w:ind w:firstLine="480" w:firstLineChars="200"/>
        <w:rPr>
          <w:rFonts w:hint="eastAsia" w:ascii="宋体" w:hAnsi="宋体" w:eastAsia="宋体" w:cs="宋体"/>
          <w:highlight w:val="none"/>
        </w:rPr>
      </w:pPr>
    </w:p>
    <w:bookmarkEnd w:id="1"/>
    <w:sectPr>
      <w:pgSz w:w="11906" w:h="16838"/>
      <w:pgMar w:top="1440" w:right="1083" w:bottom="1440" w:left="108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1121"/>
    <w:multiLevelType w:val="singleLevel"/>
    <w:tmpl w:val="0F54112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479F4"/>
    <w:rsid w:val="1AF93DB5"/>
    <w:rsid w:val="20C70666"/>
    <w:rsid w:val="24A036B2"/>
    <w:rsid w:val="2F600C63"/>
    <w:rsid w:val="2F765162"/>
    <w:rsid w:val="30AD1DD0"/>
    <w:rsid w:val="3CCD789F"/>
    <w:rsid w:val="44C12E6E"/>
    <w:rsid w:val="50D8517E"/>
    <w:rsid w:val="547A285B"/>
    <w:rsid w:val="61011658"/>
    <w:rsid w:val="63E17CEC"/>
    <w:rsid w:val="694E0197"/>
    <w:rsid w:val="6F2241AC"/>
    <w:rsid w:val="74A479F4"/>
    <w:rsid w:val="7C706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微软雅黑" w:cs="宋体"/>
      <w:color w:val="000000"/>
      <w:sz w:val="24"/>
      <w:szCs w:val="24"/>
      <w:lang w:val="en-US" w:eastAsia="zh-CN" w:bidi="ar-SA"/>
    </w:rPr>
  </w:style>
  <w:style w:type="paragraph" w:styleId="3">
    <w:name w:val="Body Text"/>
    <w:basedOn w:val="1"/>
    <w:qFormat/>
    <w:uiPriority w:val="0"/>
    <w:rPr>
      <w:rFonts w:ascii="Times New Roman" w:hAnsi="Times New Roman" w:eastAsia="宋体"/>
      <w:b/>
      <w:bCs/>
      <w:spacing w:val="20"/>
      <w:kern w:val="52"/>
      <w:sz w:val="28"/>
      <w:szCs w:val="24"/>
    </w:rPr>
  </w:style>
  <w:style w:type="paragraph" w:styleId="4">
    <w:name w:val="Body Text First Indent"/>
    <w:basedOn w:val="3"/>
    <w:qFormat/>
    <w:uiPriority w:val="0"/>
    <w:pPr>
      <w:adjustRightInd w:val="0"/>
      <w:spacing w:after="120" w:line="360" w:lineRule="auto"/>
      <w:ind w:firstLine="420"/>
      <w:textAlignment w:val="baseline"/>
    </w:pPr>
    <w:rPr>
      <w:rFonts w:eastAsia="楷体_GB2312"/>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rPr>
      <w:rFonts w:ascii="Calibri" w:hAnsi="Calibri" w:eastAsia="仿宋_GB2312"/>
      <w:sz w:val="28"/>
      <w:szCs w:val="22"/>
    </w:rPr>
  </w:style>
  <w:style w:type="character" w:customStyle="1" w:styleId="9">
    <w:name w:val="NormalCharacter"/>
    <w:qFormat/>
    <w:uiPriority w:val="0"/>
  </w:style>
  <w:style w:type="paragraph" w:customStyle="1" w:styleId="10">
    <w:name w:val="179"/>
    <w:basedOn w:val="1"/>
    <w:qFormat/>
    <w:uiPriority w:val="0"/>
    <w:pPr>
      <w:widowControl/>
      <w:ind w:firstLine="420" w:firstLineChars="200"/>
      <w:textAlignment w:val="baseline"/>
    </w:pPr>
    <w:rPr>
      <w:rFonts w:eastAsia="仿宋_GB2312" w:cs="Times New Roman"/>
      <w:sz w:val="28"/>
      <w:szCs w:val="22"/>
    </w:rPr>
  </w:style>
  <w:style w:type="paragraph" w:customStyle="1" w:styleId="11">
    <w:name w:val="UserStyle_107"/>
    <w:qFormat/>
    <w:uiPriority w:val="0"/>
    <w:pPr>
      <w:textAlignment w:val="baseline"/>
    </w:pPr>
    <w:rPr>
      <w:rFonts w:ascii="宋体" w:hAnsi="Calibri" w:eastAsia="宋体" w:cs="Times New Roman"/>
      <w:color w:val="000000"/>
      <w:sz w:val="24"/>
      <w:szCs w:val="24"/>
      <w:lang w:val="en-US" w:eastAsia="zh-CN" w:bidi="ar-SA"/>
    </w:rPr>
  </w:style>
  <w:style w:type="character" w:customStyle="1" w:styleId="12">
    <w:name w:val="font71"/>
    <w:qFormat/>
    <w:uiPriority w:val="0"/>
    <w:rPr>
      <w:rFonts w:ascii="微软雅黑" w:hAnsi="微软雅黑" w:eastAsia="微软雅黑" w:cs="微软雅黑"/>
      <w:color w:val="auto"/>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2020-08-20T04:00:00Z</dcterms:created>
  <dc:creator>成套工程吴世胜</dc:creator>
  <cp:lastModifiedBy>成套工程吴世胜</cp:lastModifiedBy>
  <cp:lastPrinted>2020-09-30T05:47:00Z</cp:lastPrinted>
  <dcterms:modified xsi:type="dcterms:W3CDTF">2020-10-21T03:41:59Z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