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0" w:line="240" w:lineRule="auto"/>
        <w:jc w:val="center"/>
        <w:rPr>
          <w:rFonts w:hint="eastAsia" w:ascii="宋体" w:hAnsi="宋体" w:eastAsia="宋体" w:cs="宋体"/>
          <w:sz w:val="36"/>
          <w:szCs w:val="36"/>
        </w:rPr>
      </w:pPr>
      <w:r>
        <w:rPr>
          <w:rFonts w:hint="eastAsia" w:ascii="宋体" w:hAnsi="宋体" w:eastAsia="宋体" w:cs="宋体"/>
          <w:sz w:val="36"/>
          <w:szCs w:val="36"/>
        </w:rPr>
        <w:t>采购内容及要求</w:t>
      </w:r>
      <w:bookmarkStart w:id="0" w:name="_GoBack"/>
      <w:bookmarkEnd w:id="0"/>
    </w:p>
    <w:p>
      <w:pPr>
        <w:spacing w:line="380" w:lineRule="exact"/>
        <w:rPr>
          <w:rFonts w:hint="eastAsia" w:ascii="宋体" w:hAnsi="宋体"/>
          <w:b/>
          <w:bCs/>
          <w:sz w:val="22"/>
          <w:szCs w:val="22"/>
        </w:rPr>
      </w:pPr>
      <w:r>
        <w:rPr>
          <w:rFonts w:hint="eastAsia" w:ascii="宋体" w:hAnsi="宋体"/>
          <w:b/>
          <w:bCs/>
          <w:sz w:val="22"/>
          <w:szCs w:val="22"/>
        </w:rPr>
        <w:t>一、采购内容</w:t>
      </w:r>
    </w:p>
    <w:p>
      <w:pPr>
        <w:spacing w:line="380" w:lineRule="exact"/>
        <w:rPr>
          <w:rFonts w:ascii="宋体" w:hAnsi="宋体"/>
          <w:b/>
          <w:sz w:val="22"/>
          <w:szCs w:val="22"/>
        </w:rPr>
      </w:pPr>
      <w:r>
        <w:rPr>
          <w:rFonts w:hint="eastAsia" w:ascii="宋体" w:hAnsi="宋体"/>
          <w:b/>
          <w:bCs/>
          <w:sz w:val="22"/>
          <w:szCs w:val="22"/>
        </w:rPr>
        <w:t>1、</w:t>
      </w:r>
      <w:r>
        <w:rPr>
          <w:rFonts w:hint="eastAsia"/>
          <w:b/>
          <w:bCs/>
          <w:sz w:val="22"/>
          <w:szCs w:val="22"/>
        </w:rPr>
        <w:t>主要技术参数及要求</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2651"/>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3896" w:type="dxa"/>
            <w:gridSpan w:val="2"/>
            <w:tcBorders>
              <w:tl2br w:val="single" w:color="auto" w:sz="4" w:space="0"/>
            </w:tcBorders>
            <w:noWrap w:val="0"/>
            <w:vAlign w:val="center"/>
          </w:tcPr>
          <w:p>
            <w:pPr>
              <w:widowControl/>
              <w:spacing w:line="380" w:lineRule="exact"/>
              <w:jc w:val="center"/>
              <w:rPr>
                <w:rFonts w:ascii="宋体"/>
                <w:b/>
                <w:bCs/>
                <w:sz w:val="22"/>
                <w:szCs w:val="22"/>
              </w:rPr>
            </w:pPr>
            <w:r>
              <w:rPr>
                <w:rFonts w:hint="eastAsia" w:ascii="宋体"/>
                <w:b/>
                <w:bCs/>
                <w:sz w:val="22"/>
                <w:szCs w:val="22"/>
              </w:rPr>
              <w:t>项目            分类</w:t>
            </w:r>
          </w:p>
        </w:tc>
        <w:tc>
          <w:tcPr>
            <w:tcW w:w="6097" w:type="dxa"/>
            <w:noWrap w:val="0"/>
            <w:vAlign w:val="center"/>
          </w:tcPr>
          <w:p>
            <w:pPr>
              <w:widowControl/>
              <w:spacing w:line="380" w:lineRule="exact"/>
              <w:jc w:val="center"/>
              <w:rPr>
                <w:rFonts w:ascii="宋体"/>
                <w:b/>
                <w:bCs/>
                <w:sz w:val="22"/>
                <w:szCs w:val="22"/>
              </w:rPr>
            </w:pPr>
            <w:r>
              <w:rPr>
                <w:rFonts w:hint="eastAsia" w:ascii="宋体"/>
                <w:b/>
                <w:bCs/>
                <w:sz w:val="22"/>
                <w:szCs w:val="2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ascii="宋体"/>
                <w:sz w:val="22"/>
                <w:szCs w:val="22"/>
              </w:rPr>
              <w:t>处理压缩方式</w:t>
            </w:r>
          </w:p>
        </w:tc>
        <w:tc>
          <w:tcPr>
            <w:tcW w:w="6097" w:type="dxa"/>
            <w:noWrap w:val="0"/>
            <w:vAlign w:val="center"/>
          </w:tcPr>
          <w:p>
            <w:pPr>
              <w:widowControl/>
              <w:spacing w:line="380" w:lineRule="exact"/>
              <w:jc w:val="center"/>
              <w:rPr>
                <w:rFonts w:ascii="宋体" w:hAnsi="宋体" w:cs="宋体"/>
                <w:sz w:val="22"/>
                <w:szCs w:val="22"/>
              </w:rPr>
            </w:pPr>
            <w:r>
              <w:rPr>
                <w:rFonts w:hint="eastAsia" w:ascii="宋体" w:hAnsi="宋体" w:cs="宋体"/>
                <w:sz w:val="22"/>
                <w:szCs w:val="22"/>
              </w:rPr>
              <w:t>水平压缩式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ascii="宋体"/>
                <w:sz w:val="22"/>
                <w:szCs w:val="22"/>
              </w:rPr>
              <w:t>理论处理垃圾量</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≥12m³/小时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sz w:val="22"/>
                <w:szCs w:val="22"/>
              </w:rPr>
              <w:t>垃圾箱容积</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≥12m³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sz w:val="22"/>
                <w:szCs w:val="22"/>
              </w:rPr>
            </w:pPr>
            <w:r>
              <w:rPr>
                <w:rFonts w:hint="eastAsia"/>
                <w:bCs/>
                <w:sz w:val="22"/>
                <w:szCs w:val="22"/>
              </w:rPr>
              <w:t>▲</w:t>
            </w:r>
            <w:r>
              <w:rPr>
                <w:rFonts w:hint="eastAsia"/>
                <w:sz w:val="22"/>
                <w:szCs w:val="22"/>
              </w:rPr>
              <w:t>动力电源电压（V）</w:t>
            </w:r>
          </w:p>
        </w:tc>
        <w:tc>
          <w:tcPr>
            <w:tcW w:w="6097" w:type="dxa"/>
            <w:tcBorders>
              <w:left w:val="nil"/>
            </w:tcBorders>
            <w:noWrap w:val="0"/>
            <w:vAlign w:val="center"/>
          </w:tcPr>
          <w:p>
            <w:pPr>
              <w:spacing w:line="380" w:lineRule="exact"/>
              <w:ind w:right="-153" w:rightChars="-73"/>
              <w:jc w:val="center"/>
              <w:rPr>
                <w:rFonts w:ascii="宋体" w:hAnsi="宋体" w:cs="宋体"/>
                <w:sz w:val="22"/>
                <w:szCs w:val="22"/>
              </w:rPr>
            </w:pPr>
            <w:r>
              <w:rPr>
                <w:rFonts w:hint="eastAsia" w:ascii="宋体" w:hAnsi="宋体" w:cs="宋体"/>
                <w:sz w:val="22"/>
                <w:szCs w:val="22"/>
              </w:rPr>
              <w:t>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restart"/>
            <w:noWrap w:val="0"/>
            <w:vAlign w:val="center"/>
          </w:tcPr>
          <w:p>
            <w:pPr>
              <w:spacing w:line="380" w:lineRule="exact"/>
              <w:jc w:val="center"/>
              <w:rPr>
                <w:sz w:val="22"/>
                <w:szCs w:val="22"/>
              </w:rPr>
            </w:pPr>
            <w:r>
              <w:rPr>
                <w:rFonts w:hint="eastAsia"/>
                <w:sz w:val="22"/>
                <w:szCs w:val="22"/>
              </w:rPr>
              <w:t>结构尺寸（翻斗翻起状态）</w:t>
            </w:r>
          </w:p>
        </w:tc>
        <w:tc>
          <w:tcPr>
            <w:tcW w:w="2651" w:type="dxa"/>
            <w:noWrap w:val="0"/>
            <w:vAlign w:val="center"/>
          </w:tcPr>
          <w:p>
            <w:pPr>
              <w:spacing w:line="380" w:lineRule="exact"/>
              <w:jc w:val="center"/>
              <w:rPr>
                <w:sz w:val="22"/>
                <w:szCs w:val="22"/>
              </w:rPr>
            </w:pPr>
            <w:r>
              <w:rPr>
                <w:rFonts w:hint="eastAsia"/>
                <w:sz w:val="22"/>
                <w:szCs w:val="22"/>
              </w:rPr>
              <w:t>长（mm）</w:t>
            </w:r>
          </w:p>
        </w:tc>
        <w:tc>
          <w:tcPr>
            <w:tcW w:w="6097" w:type="dxa"/>
            <w:tcBorders>
              <w:left w:val="nil"/>
            </w:tcBorders>
            <w:noWrap w:val="0"/>
            <w:vAlign w:val="center"/>
          </w:tcPr>
          <w:p>
            <w:pPr>
              <w:spacing w:line="380" w:lineRule="exact"/>
              <w:ind w:right="-153" w:rightChars="-73"/>
              <w:jc w:val="center"/>
              <w:rPr>
                <w:rFonts w:ascii="宋体" w:hAnsi="宋体" w:cs="宋体"/>
                <w:sz w:val="22"/>
                <w:szCs w:val="22"/>
              </w:rPr>
            </w:pPr>
            <w:r>
              <w:rPr>
                <w:rFonts w:hint="eastAsia" w:ascii="宋体" w:hAnsi="宋体" w:cs="宋体"/>
                <w:sz w:val="22"/>
                <w:szCs w:val="22"/>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noWrap w:val="0"/>
            <w:vAlign w:val="center"/>
          </w:tcPr>
          <w:p>
            <w:pPr>
              <w:spacing w:line="380" w:lineRule="exact"/>
              <w:jc w:val="center"/>
              <w:rPr>
                <w:sz w:val="22"/>
                <w:szCs w:val="22"/>
              </w:rPr>
            </w:pPr>
          </w:p>
        </w:tc>
        <w:tc>
          <w:tcPr>
            <w:tcW w:w="2651" w:type="dxa"/>
            <w:noWrap w:val="0"/>
            <w:vAlign w:val="center"/>
          </w:tcPr>
          <w:p>
            <w:pPr>
              <w:spacing w:line="380" w:lineRule="exact"/>
              <w:jc w:val="center"/>
              <w:rPr>
                <w:sz w:val="22"/>
                <w:szCs w:val="22"/>
              </w:rPr>
            </w:pPr>
            <w:r>
              <w:rPr>
                <w:rFonts w:hint="eastAsia"/>
                <w:sz w:val="22"/>
                <w:szCs w:val="22"/>
              </w:rPr>
              <w:t>宽（mm）</w:t>
            </w:r>
          </w:p>
        </w:tc>
        <w:tc>
          <w:tcPr>
            <w:tcW w:w="6097" w:type="dxa"/>
            <w:tcBorders>
              <w:left w:val="nil"/>
            </w:tcBorders>
            <w:noWrap w:val="0"/>
            <w:vAlign w:val="center"/>
          </w:tcPr>
          <w:p>
            <w:pPr>
              <w:spacing w:line="380" w:lineRule="exact"/>
              <w:ind w:right="-153" w:rightChars="-73"/>
              <w:jc w:val="center"/>
              <w:rPr>
                <w:rFonts w:ascii="宋体" w:hAnsi="宋体" w:cs="宋体"/>
                <w:sz w:val="22"/>
                <w:szCs w:val="22"/>
              </w:rPr>
            </w:pPr>
            <w:r>
              <w:rPr>
                <w:rFonts w:hint="eastAsia" w:ascii="宋体" w:hAnsi="宋体" w:cs="宋体"/>
                <w:sz w:val="22"/>
                <w:szCs w:val="22"/>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5" w:type="dxa"/>
            <w:vMerge w:val="continue"/>
            <w:noWrap w:val="0"/>
            <w:vAlign w:val="center"/>
          </w:tcPr>
          <w:p>
            <w:pPr>
              <w:spacing w:line="380" w:lineRule="exact"/>
              <w:jc w:val="center"/>
              <w:rPr>
                <w:sz w:val="22"/>
                <w:szCs w:val="22"/>
              </w:rPr>
            </w:pPr>
          </w:p>
        </w:tc>
        <w:tc>
          <w:tcPr>
            <w:tcW w:w="2651" w:type="dxa"/>
            <w:noWrap w:val="0"/>
            <w:vAlign w:val="center"/>
          </w:tcPr>
          <w:p>
            <w:pPr>
              <w:spacing w:line="380" w:lineRule="exact"/>
              <w:jc w:val="center"/>
              <w:rPr>
                <w:sz w:val="22"/>
                <w:szCs w:val="22"/>
              </w:rPr>
            </w:pPr>
            <w:r>
              <w:rPr>
                <w:rFonts w:hint="eastAsia"/>
                <w:sz w:val="22"/>
                <w:szCs w:val="22"/>
              </w:rPr>
              <w:t>高（mm）</w:t>
            </w:r>
          </w:p>
        </w:tc>
        <w:tc>
          <w:tcPr>
            <w:tcW w:w="6097" w:type="dxa"/>
            <w:tcBorders>
              <w:left w:val="nil"/>
            </w:tcBorders>
            <w:noWrap w:val="0"/>
            <w:vAlign w:val="center"/>
          </w:tcPr>
          <w:p>
            <w:pPr>
              <w:spacing w:line="380" w:lineRule="exact"/>
              <w:ind w:right="-153" w:rightChars="-73"/>
              <w:jc w:val="center"/>
              <w:rPr>
                <w:rFonts w:ascii="宋体" w:hAnsi="宋体" w:cs="宋体"/>
                <w:sz w:val="22"/>
                <w:szCs w:val="22"/>
              </w:rPr>
            </w:pPr>
            <w:r>
              <w:rPr>
                <w:rFonts w:hint="eastAsia" w:ascii="宋体" w:hAnsi="宋体" w:cs="宋体"/>
                <w:sz w:val="22"/>
                <w:szCs w:val="22"/>
              </w:rPr>
              <w:t>≥2440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kern w:val="21"/>
                <w:sz w:val="22"/>
                <w:szCs w:val="22"/>
              </w:rPr>
            </w:pPr>
            <w:r>
              <w:rPr>
                <w:rFonts w:hint="eastAsia" w:ascii="宋体" w:hAnsi="宋体"/>
                <w:kern w:val="21"/>
                <w:sz w:val="22"/>
                <w:szCs w:val="22"/>
              </w:rPr>
              <w:t>箱体钢板厚度</w:t>
            </w:r>
            <w:r>
              <w:rPr>
                <w:rFonts w:hint="eastAsia" w:ascii="宋体" w:hAnsi="宋体"/>
                <w:sz w:val="22"/>
                <w:szCs w:val="22"/>
              </w:rPr>
              <w:t>（</w:t>
            </w:r>
            <w:r>
              <w:rPr>
                <w:rFonts w:ascii="宋体" w:hAnsi="宋体"/>
                <w:kern w:val="21"/>
                <w:sz w:val="22"/>
                <w:szCs w:val="22"/>
              </w:rPr>
              <w:t>mm</w:t>
            </w:r>
            <w:r>
              <w:rPr>
                <w:rFonts w:hint="eastAsia" w:ascii="宋体" w:hAnsi="宋体"/>
                <w:sz w:val="22"/>
                <w:szCs w:val="22"/>
              </w:rPr>
              <w:t>）</w:t>
            </w:r>
          </w:p>
        </w:tc>
        <w:tc>
          <w:tcPr>
            <w:tcW w:w="6097" w:type="dxa"/>
            <w:tcBorders>
              <w:left w:val="nil"/>
            </w:tcBorders>
            <w:noWrap w:val="0"/>
            <w:vAlign w:val="center"/>
          </w:tcPr>
          <w:p>
            <w:pPr>
              <w:spacing w:line="380" w:lineRule="exact"/>
              <w:jc w:val="center"/>
              <w:rPr>
                <w:rFonts w:ascii="宋体" w:hAnsi="宋体" w:cs="宋体"/>
                <w:kern w:val="21"/>
                <w:sz w:val="22"/>
                <w:szCs w:val="22"/>
              </w:rPr>
            </w:pPr>
            <w:r>
              <w:rPr>
                <w:rFonts w:hint="eastAsia" w:ascii="宋体" w:hAnsi="宋体" w:cs="宋体"/>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ascii="宋体" w:hAnsi="宋体"/>
                <w:sz w:val="22"/>
                <w:szCs w:val="22"/>
              </w:rPr>
              <w:t>空载箱体重量（</w:t>
            </w:r>
            <w:r>
              <w:rPr>
                <w:rFonts w:ascii="宋体" w:hAnsi="宋体"/>
                <w:sz w:val="22"/>
                <w:szCs w:val="22"/>
              </w:rPr>
              <w:t>kg</w:t>
            </w:r>
            <w:r>
              <w:rPr>
                <w:rFonts w:hint="eastAsia" w:ascii="宋体" w:hAnsi="宋体"/>
                <w:sz w:val="22"/>
                <w:szCs w:val="22"/>
              </w:rPr>
              <w:t>）</w:t>
            </w:r>
          </w:p>
        </w:tc>
        <w:tc>
          <w:tcPr>
            <w:tcW w:w="6097" w:type="dxa"/>
            <w:tcBorders>
              <w:left w:val="nil"/>
            </w:tcBorders>
            <w:noWrap w:val="0"/>
            <w:vAlign w:val="center"/>
          </w:tcPr>
          <w:p>
            <w:pPr>
              <w:spacing w:line="380" w:lineRule="exact"/>
              <w:jc w:val="center"/>
              <w:rPr>
                <w:rFonts w:ascii="宋体" w:hAnsi="宋体" w:cs="宋体"/>
                <w:sz w:val="22"/>
                <w:szCs w:val="22"/>
              </w:rPr>
            </w:pPr>
            <w:r>
              <w:rPr>
                <w:rFonts w:hint="eastAsia" w:ascii="宋体" w:hAnsi="宋体" w:cs="宋体"/>
                <w:sz w:val="22"/>
                <w:szCs w:val="22"/>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bCs/>
                <w:sz w:val="22"/>
                <w:szCs w:val="22"/>
              </w:rPr>
            </w:pPr>
            <w:r>
              <w:rPr>
                <w:rFonts w:hint="eastAsia"/>
                <w:bCs/>
                <w:sz w:val="22"/>
                <w:szCs w:val="22"/>
              </w:rPr>
              <w:t>上料斗容积</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≥2.5m³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bCs/>
                <w:sz w:val="22"/>
                <w:szCs w:val="22"/>
              </w:rPr>
            </w:pPr>
            <w:r>
              <w:rPr>
                <w:rFonts w:hint="eastAsia"/>
                <w:bCs/>
                <w:sz w:val="22"/>
                <w:szCs w:val="22"/>
              </w:rPr>
              <w:t>▲电机功率</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≥5.5kw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ascii="宋体" w:hAnsi="宋体"/>
                <w:sz w:val="22"/>
                <w:szCs w:val="22"/>
              </w:rPr>
              <w:t>运行噪音</w:t>
            </w:r>
            <w:r>
              <w:rPr>
                <w:rFonts w:ascii="宋体" w:hAnsi="宋体"/>
                <w:sz w:val="22"/>
                <w:szCs w:val="22"/>
              </w:rPr>
              <w:t>(dB)</w:t>
            </w:r>
          </w:p>
        </w:tc>
        <w:tc>
          <w:tcPr>
            <w:tcW w:w="6097" w:type="dxa"/>
            <w:tcBorders>
              <w:left w:val="nil"/>
            </w:tcBorders>
            <w:noWrap w:val="0"/>
            <w:vAlign w:val="center"/>
          </w:tcPr>
          <w:p>
            <w:pPr>
              <w:spacing w:line="380" w:lineRule="exact"/>
              <w:jc w:val="center"/>
              <w:rPr>
                <w:rFonts w:ascii="宋体" w:hAnsi="宋体" w:cs="宋体"/>
                <w:sz w:val="22"/>
                <w:szCs w:val="22"/>
              </w:rPr>
            </w:pPr>
            <w:r>
              <w:rPr>
                <w:rFonts w:hint="eastAsia" w:ascii="宋体" w:hAnsi="宋体" w:cs="宋体"/>
                <w:sz w:val="22"/>
                <w:szCs w:val="22"/>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bCs/>
                <w:sz w:val="22"/>
                <w:szCs w:val="22"/>
              </w:rPr>
            </w:pPr>
            <w:r>
              <w:rPr>
                <w:rFonts w:hint="eastAsia"/>
                <w:bCs/>
                <w:sz w:val="22"/>
                <w:szCs w:val="22"/>
              </w:rPr>
              <w:t>液压系统最大压力</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≥22MPa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hint="eastAsia"/>
                <w:bCs/>
                <w:sz w:val="22"/>
                <w:szCs w:val="22"/>
              </w:rPr>
            </w:pPr>
            <w:r>
              <w:rPr>
                <w:rFonts w:hint="eastAsia"/>
                <w:bCs/>
                <w:sz w:val="22"/>
                <w:szCs w:val="22"/>
              </w:rPr>
              <w:t>一次压缩循环时间(s)</w:t>
            </w:r>
          </w:p>
        </w:tc>
        <w:tc>
          <w:tcPr>
            <w:tcW w:w="6097" w:type="dxa"/>
            <w:tcBorders>
              <w:left w:val="nil"/>
            </w:tcBorders>
            <w:noWrap w:val="0"/>
            <w:vAlign w:val="center"/>
          </w:tcPr>
          <w:p>
            <w:pPr>
              <w:spacing w:line="380" w:lineRule="exact"/>
              <w:jc w:val="center"/>
              <w:rPr>
                <w:rFonts w:hint="eastAsia" w:ascii="宋体" w:hAnsi="宋体" w:cs="宋体"/>
                <w:sz w:val="22"/>
                <w:szCs w:val="22"/>
              </w:rPr>
            </w:pPr>
            <w:r>
              <w:rPr>
                <w:rFonts w:hint="eastAsia" w:ascii="宋体" w:hAnsi="宋体" w:cs="宋体"/>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hint="eastAsia"/>
                <w:bCs/>
                <w:sz w:val="22"/>
                <w:szCs w:val="22"/>
              </w:rPr>
            </w:pPr>
            <w:r>
              <w:rPr>
                <w:rFonts w:hint="eastAsia"/>
                <w:bCs/>
                <w:sz w:val="22"/>
                <w:szCs w:val="22"/>
              </w:rPr>
              <w:t>料斗</w:t>
            </w:r>
            <w:r>
              <w:rPr>
                <w:bCs/>
                <w:sz w:val="22"/>
                <w:szCs w:val="22"/>
              </w:rPr>
              <w:t>提升循环时间</w:t>
            </w:r>
            <w:r>
              <w:rPr>
                <w:rFonts w:hint="eastAsia"/>
                <w:bCs/>
                <w:sz w:val="22"/>
                <w:szCs w:val="22"/>
              </w:rPr>
              <w:t>(s)</w:t>
            </w:r>
          </w:p>
        </w:tc>
        <w:tc>
          <w:tcPr>
            <w:tcW w:w="6097" w:type="dxa"/>
            <w:tcBorders>
              <w:left w:val="nil"/>
            </w:tcBorders>
            <w:noWrap w:val="0"/>
            <w:vAlign w:val="center"/>
          </w:tcPr>
          <w:p>
            <w:pPr>
              <w:spacing w:line="380" w:lineRule="exact"/>
              <w:jc w:val="center"/>
              <w:rPr>
                <w:rFonts w:hint="eastAsia" w:ascii="宋体" w:hAnsi="宋体" w:cs="宋体"/>
                <w:sz w:val="22"/>
                <w:szCs w:val="22"/>
              </w:rPr>
            </w:pPr>
            <w:r>
              <w:rPr>
                <w:rFonts w:hint="eastAsia" w:ascii="宋体" w:hAnsi="宋体" w:cs="宋体"/>
                <w:sz w:val="22"/>
                <w:szCs w:val="22"/>
              </w:rPr>
              <w:t>≤3</w:t>
            </w:r>
            <w:r>
              <w:rPr>
                <w:rFonts w:ascii="宋体" w:hAnsi="宋体" w:cs="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hint="eastAsia" w:ascii="宋体" w:hAnsi="宋体"/>
                <w:bCs/>
                <w:sz w:val="22"/>
                <w:szCs w:val="22"/>
              </w:rPr>
            </w:pPr>
            <w:r>
              <w:rPr>
                <w:rFonts w:hint="eastAsia" w:ascii="宋体" w:hAnsi="宋体"/>
                <w:bCs/>
                <w:sz w:val="22"/>
                <w:szCs w:val="22"/>
              </w:rPr>
              <w:t>最大</w:t>
            </w:r>
            <w:r>
              <w:rPr>
                <w:rFonts w:ascii="宋体" w:hAnsi="宋体"/>
                <w:bCs/>
                <w:sz w:val="22"/>
                <w:szCs w:val="22"/>
              </w:rPr>
              <w:t>提料能力</w:t>
            </w:r>
            <w:r>
              <w:rPr>
                <w:rFonts w:hint="eastAsia" w:ascii="宋体" w:hAnsi="宋体"/>
                <w:bCs/>
                <w:sz w:val="22"/>
                <w:szCs w:val="22"/>
              </w:rPr>
              <w:t>（t</w:t>
            </w:r>
            <w:r>
              <w:rPr>
                <w:rFonts w:ascii="宋体" w:hAnsi="宋体"/>
                <w:bCs/>
                <w:sz w:val="22"/>
                <w:szCs w:val="22"/>
              </w:rPr>
              <w:t>）</w:t>
            </w:r>
          </w:p>
        </w:tc>
        <w:tc>
          <w:tcPr>
            <w:tcW w:w="6097" w:type="dxa"/>
            <w:tcBorders>
              <w:left w:val="nil"/>
            </w:tcBorders>
            <w:noWrap w:val="0"/>
            <w:vAlign w:val="center"/>
          </w:tcPr>
          <w:p>
            <w:pPr>
              <w:spacing w:line="380" w:lineRule="exact"/>
              <w:jc w:val="center"/>
              <w:rPr>
                <w:rFonts w:hint="eastAsia" w:ascii="宋体" w:hAnsi="宋体"/>
                <w:bCs/>
                <w:sz w:val="22"/>
                <w:szCs w:val="22"/>
              </w:rPr>
            </w:pPr>
            <w:r>
              <w:rPr>
                <w:rFonts w:hint="eastAsia" w:ascii="宋体" w:hAnsi="宋体"/>
                <w:bCs/>
                <w:sz w:val="22"/>
                <w:szCs w:val="22"/>
              </w:rPr>
              <w:t>≥1.</w:t>
            </w:r>
            <w:r>
              <w:rPr>
                <w:rFonts w:ascii="宋体" w:hAnsi="宋体"/>
                <w:bCs/>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hint="eastAsia" w:ascii="宋体" w:hAnsi="宋体"/>
                <w:sz w:val="22"/>
                <w:szCs w:val="22"/>
              </w:rPr>
            </w:pPr>
            <w:r>
              <w:rPr>
                <w:rFonts w:hint="eastAsia" w:ascii="宋体" w:hAnsi="宋体"/>
                <w:bCs/>
                <w:sz w:val="22"/>
                <w:szCs w:val="22"/>
              </w:rPr>
              <w:t>垃圾最大密实度(t/m</w:t>
            </w:r>
            <w:r>
              <w:rPr>
                <w:rFonts w:hint="eastAsia" w:ascii="宋体" w:hAnsi="宋体"/>
                <w:bCs/>
                <w:sz w:val="22"/>
                <w:szCs w:val="22"/>
                <w:vertAlign w:val="superscript"/>
              </w:rPr>
              <w:t>3</w:t>
            </w:r>
            <w:r>
              <w:rPr>
                <w:rFonts w:hint="eastAsia" w:ascii="宋体" w:hAnsi="宋体"/>
                <w:bCs/>
                <w:sz w:val="22"/>
                <w:szCs w:val="22"/>
              </w:rPr>
              <w:t>)</w:t>
            </w:r>
          </w:p>
        </w:tc>
        <w:tc>
          <w:tcPr>
            <w:tcW w:w="6097" w:type="dxa"/>
            <w:tcBorders>
              <w:left w:val="nil"/>
            </w:tcBorders>
            <w:noWrap w:val="0"/>
            <w:vAlign w:val="center"/>
          </w:tcPr>
          <w:p>
            <w:pPr>
              <w:spacing w:line="380" w:lineRule="exact"/>
              <w:jc w:val="center"/>
              <w:rPr>
                <w:rFonts w:hint="eastAsia" w:ascii="宋体" w:hAnsi="宋体"/>
                <w:sz w:val="22"/>
                <w:szCs w:val="22"/>
              </w:rPr>
            </w:pPr>
            <w:r>
              <w:rPr>
                <w:rFonts w:hint="eastAsia" w:ascii="宋体" w:hAnsi="宋体"/>
                <w:bCs/>
                <w:sz w:val="22"/>
                <w:szCs w:val="22"/>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noWrap w:val="0"/>
            <w:vAlign w:val="center"/>
          </w:tcPr>
          <w:p>
            <w:pPr>
              <w:spacing w:line="380" w:lineRule="exact"/>
              <w:jc w:val="center"/>
              <w:rPr>
                <w:rFonts w:ascii="宋体"/>
                <w:sz w:val="22"/>
                <w:szCs w:val="22"/>
              </w:rPr>
            </w:pPr>
            <w:r>
              <w:rPr>
                <w:rFonts w:hint="eastAsia" w:ascii="宋体" w:hAnsi="宋体"/>
                <w:sz w:val="22"/>
                <w:szCs w:val="22"/>
              </w:rPr>
              <w:t>最大压缩力</w:t>
            </w:r>
            <w:r>
              <w:rPr>
                <w:rFonts w:ascii="宋体" w:hAnsi="宋体"/>
                <w:sz w:val="22"/>
                <w:szCs w:val="22"/>
              </w:rPr>
              <w:t>(</w:t>
            </w:r>
            <w:r>
              <w:rPr>
                <w:rFonts w:hint="eastAsia" w:ascii="宋体" w:hAnsi="宋体"/>
                <w:sz w:val="22"/>
                <w:szCs w:val="22"/>
              </w:rPr>
              <w:t>KN</w:t>
            </w:r>
            <w:r>
              <w:rPr>
                <w:rFonts w:ascii="宋体" w:hAnsi="宋体"/>
                <w:sz w:val="22"/>
                <w:szCs w:val="22"/>
              </w:rPr>
              <w:t>)</w:t>
            </w:r>
          </w:p>
        </w:tc>
        <w:tc>
          <w:tcPr>
            <w:tcW w:w="6097" w:type="dxa"/>
            <w:tcBorders>
              <w:left w:val="nil"/>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tcBorders>
              <w:top w:val="single" w:color="auto" w:sz="4" w:space="0"/>
              <w:bottom w:val="single" w:color="auto" w:sz="4" w:space="0"/>
            </w:tcBorders>
            <w:noWrap w:val="0"/>
            <w:vAlign w:val="center"/>
          </w:tcPr>
          <w:p>
            <w:pPr>
              <w:spacing w:line="380" w:lineRule="exact"/>
              <w:jc w:val="center"/>
              <w:rPr>
                <w:rFonts w:ascii="宋体"/>
                <w:sz w:val="22"/>
                <w:szCs w:val="22"/>
              </w:rPr>
            </w:pPr>
            <w:r>
              <w:rPr>
                <w:rFonts w:hint="eastAsia" w:ascii="宋体"/>
                <w:sz w:val="22"/>
                <w:szCs w:val="22"/>
              </w:rPr>
              <w:t>压缩腔容积</w:t>
            </w:r>
          </w:p>
        </w:tc>
        <w:tc>
          <w:tcPr>
            <w:tcW w:w="6097" w:type="dxa"/>
            <w:tcBorders>
              <w:top w:val="single" w:color="auto" w:sz="4" w:space="0"/>
              <w:left w:val="nil"/>
              <w:bottom w:val="single" w:color="auto" w:sz="4" w:space="0"/>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≥1.3 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tcBorders>
              <w:top w:val="single" w:color="auto" w:sz="4" w:space="0"/>
              <w:bottom w:val="single" w:color="auto" w:sz="4" w:space="0"/>
            </w:tcBorders>
            <w:noWrap w:val="0"/>
            <w:vAlign w:val="center"/>
          </w:tcPr>
          <w:p>
            <w:pPr>
              <w:spacing w:line="380" w:lineRule="exact"/>
              <w:jc w:val="center"/>
              <w:rPr>
                <w:rFonts w:ascii="宋体"/>
                <w:sz w:val="22"/>
                <w:szCs w:val="22"/>
              </w:rPr>
            </w:pPr>
            <w:r>
              <w:rPr>
                <w:rFonts w:hint="eastAsia" w:ascii="宋体"/>
                <w:sz w:val="22"/>
                <w:szCs w:val="22"/>
              </w:rPr>
              <w:t>压缩仓容积(m³)</w:t>
            </w:r>
          </w:p>
        </w:tc>
        <w:tc>
          <w:tcPr>
            <w:tcW w:w="6097" w:type="dxa"/>
            <w:tcBorders>
              <w:top w:val="single" w:color="auto" w:sz="4" w:space="0"/>
              <w:left w:val="nil"/>
              <w:bottom w:val="single" w:color="auto" w:sz="4" w:space="0"/>
            </w:tcBorders>
            <w:noWrap w:val="0"/>
            <w:vAlign w:val="center"/>
          </w:tcPr>
          <w:p>
            <w:pPr>
              <w:spacing w:line="380" w:lineRule="exact"/>
              <w:jc w:val="center"/>
              <w:rPr>
                <w:rFonts w:ascii="宋体" w:hAnsi="宋体" w:cs="宋体"/>
                <w:sz w:val="22"/>
                <w:szCs w:val="22"/>
              </w:rPr>
            </w:pPr>
            <w:r>
              <w:rPr>
                <w:rFonts w:hint="eastAsia" w:ascii="宋体" w:hAnsi="宋体" w:cs="宋体"/>
                <w:sz w:val="22"/>
                <w:szCs w:val="2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tcBorders>
              <w:top w:val="single" w:color="auto" w:sz="4" w:space="0"/>
              <w:bottom w:val="single" w:color="auto" w:sz="4" w:space="0"/>
            </w:tcBorders>
            <w:noWrap w:val="0"/>
            <w:vAlign w:val="center"/>
          </w:tcPr>
          <w:p>
            <w:pPr>
              <w:spacing w:line="380" w:lineRule="exact"/>
              <w:jc w:val="center"/>
              <w:rPr>
                <w:rFonts w:ascii="宋体"/>
                <w:sz w:val="22"/>
                <w:szCs w:val="22"/>
              </w:rPr>
            </w:pPr>
            <w:r>
              <w:rPr>
                <w:rFonts w:hint="eastAsia" w:ascii="宋体"/>
                <w:sz w:val="22"/>
                <w:szCs w:val="22"/>
              </w:rPr>
              <w:t>箱体尾门开启方式</w:t>
            </w:r>
          </w:p>
        </w:tc>
        <w:tc>
          <w:tcPr>
            <w:tcW w:w="6097" w:type="dxa"/>
            <w:tcBorders>
              <w:top w:val="single" w:color="auto" w:sz="4" w:space="0"/>
              <w:left w:val="nil"/>
              <w:bottom w:val="single" w:color="auto" w:sz="4" w:space="0"/>
            </w:tcBorders>
            <w:noWrap w:val="0"/>
            <w:vAlign w:val="center"/>
          </w:tcPr>
          <w:p>
            <w:pPr>
              <w:spacing w:line="380" w:lineRule="exact"/>
              <w:ind w:right="-107" w:rightChars="-51"/>
              <w:jc w:val="center"/>
              <w:rPr>
                <w:rFonts w:ascii="宋体" w:hAnsi="宋体" w:cs="宋体"/>
                <w:sz w:val="22"/>
                <w:szCs w:val="22"/>
              </w:rPr>
            </w:pPr>
            <w:r>
              <w:rPr>
                <w:rFonts w:hint="eastAsia" w:ascii="宋体" w:hAnsi="宋体" w:cs="宋体"/>
                <w:sz w:val="22"/>
                <w:szCs w:val="22"/>
              </w:rPr>
              <w:t>液控开启，需要与现有压缩箱体配套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96" w:type="dxa"/>
            <w:gridSpan w:val="2"/>
            <w:tcBorders>
              <w:top w:val="single" w:color="auto" w:sz="4" w:space="0"/>
            </w:tcBorders>
            <w:noWrap w:val="0"/>
            <w:vAlign w:val="center"/>
          </w:tcPr>
          <w:p>
            <w:pPr>
              <w:spacing w:line="380" w:lineRule="exact"/>
              <w:jc w:val="center"/>
              <w:rPr>
                <w:rFonts w:hint="eastAsia" w:ascii="宋体" w:hAnsi="宋体" w:cs="宋体"/>
                <w:sz w:val="22"/>
                <w:szCs w:val="22"/>
              </w:rPr>
            </w:pPr>
            <w:r>
              <w:rPr>
                <w:rFonts w:hint="eastAsia" w:ascii="宋体" w:hAnsi="宋体" w:cs="宋体"/>
                <w:sz w:val="22"/>
                <w:szCs w:val="22"/>
              </w:rPr>
              <w:t>操作方式</w:t>
            </w:r>
          </w:p>
        </w:tc>
        <w:tc>
          <w:tcPr>
            <w:tcW w:w="6097" w:type="dxa"/>
            <w:tcBorders>
              <w:top w:val="single" w:color="auto" w:sz="4" w:space="0"/>
              <w:left w:val="nil"/>
            </w:tcBorders>
            <w:noWrap w:val="0"/>
            <w:vAlign w:val="center"/>
          </w:tcPr>
          <w:p>
            <w:pPr>
              <w:spacing w:line="380" w:lineRule="exact"/>
              <w:jc w:val="center"/>
              <w:rPr>
                <w:rFonts w:hint="eastAsia" w:ascii="宋体" w:hAnsi="宋体" w:cs="宋体"/>
                <w:sz w:val="22"/>
                <w:szCs w:val="22"/>
              </w:rPr>
            </w:pPr>
            <w:r>
              <w:rPr>
                <w:rFonts w:hint="eastAsia" w:ascii="宋体" w:hAnsi="宋体" w:cs="宋体"/>
                <w:sz w:val="22"/>
                <w:szCs w:val="22"/>
              </w:rPr>
              <w:t>操作箱</w:t>
            </w:r>
            <w:r>
              <w:rPr>
                <w:rFonts w:ascii="宋体" w:hAnsi="宋体" w:cs="宋体"/>
                <w:sz w:val="22"/>
                <w:szCs w:val="22"/>
              </w:rPr>
              <w:t>控制、线控及无线</w:t>
            </w:r>
            <w:r>
              <w:rPr>
                <w:rFonts w:hint="eastAsia" w:ascii="宋体" w:hAnsi="宋体" w:cs="宋体"/>
                <w:sz w:val="22"/>
                <w:szCs w:val="22"/>
              </w:rPr>
              <w:t>遥控方式</w:t>
            </w:r>
          </w:p>
        </w:tc>
      </w:tr>
    </w:tbl>
    <w:p>
      <w:pPr>
        <w:spacing w:line="380" w:lineRule="exact"/>
        <w:rPr>
          <w:rFonts w:hint="eastAsia" w:ascii="宋体" w:hAnsi="宋体" w:cs="宋体"/>
          <w:b/>
          <w:bCs/>
          <w:kern w:val="21"/>
          <w:sz w:val="22"/>
          <w:szCs w:val="22"/>
        </w:rPr>
      </w:pPr>
      <w:r>
        <w:rPr>
          <w:rFonts w:hint="eastAsia" w:ascii="宋体" w:hAnsi="宋体" w:cs="Arial"/>
          <w:b/>
          <w:bCs/>
          <w:sz w:val="22"/>
          <w:szCs w:val="22"/>
        </w:rPr>
        <w:t>2、</w:t>
      </w:r>
      <w:r>
        <w:rPr>
          <w:rFonts w:hint="eastAsia" w:ascii="宋体" w:hAnsi="宋体" w:cs="宋体"/>
          <w:b/>
          <w:bCs/>
          <w:kern w:val="21"/>
          <w:sz w:val="22"/>
          <w:szCs w:val="22"/>
        </w:rPr>
        <w:t>主要性能要求：</w:t>
      </w:r>
    </w:p>
    <w:p>
      <w:pPr>
        <w:spacing w:line="380" w:lineRule="exact"/>
        <w:rPr>
          <w:sz w:val="22"/>
          <w:szCs w:val="22"/>
        </w:rPr>
      </w:pPr>
      <w:r>
        <w:rPr>
          <w:rFonts w:hint="eastAsia" w:ascii="宋体" w:hAnsi="宋体"/>
          <w:bCs/>
          <w:sz w:val="22"/>
          <w:szCs w:val="22"/>
        </w:rPr>
        <w:t>（1）压缩机机体及推头采用高强度耐磨钢板，满足设备工作环境的需求，确保设备较长的使用寿命。</w:t>
      </w:r>
    </w:p>
    <w:p>
      <w:pPr>
        <w:spacing w:line="380" w:lineRule="exact"/>
        <w:rPr>
          <w:rFonts w:ascii="宋体" w:hAnsi="宋体"/>
          <w:bCs/>
          <w:sz w:val="22"/>
          <w:szCs w:val="22"/>
        </w:rPr>
      </w:pPr>
      <w:r>
        <w:rPr>
          <w:rFonts w:hint="eastAsia" w:ascii="宋体" w:hAnsi="宋体"/>
          <w:bCs/>
          <w:sz w:val="22"/>
          <w:szCs w:val="22"/>
        </w:rPr>
        <w:t>（2）</w:t>
      </w:r>
      <w:r>
        <w:rPr>
          <w:rFonts w:hint="eastAsia"/>
          <w:bCs/>
          <w:sz w:val="22"/>
          <w:szCs w:val="22"/>
        </w:rPr>
        <w:t>▲</w:t>
      </w:r>
      <w:r>
        <w:rPr>
          <w:rFonts w:hint="eastAsia" w:ascii="宋体" w:hAnsi="宋体"/>
          <w:bCs/>
          <w:sz w:val="22"/>
          <w:szCs w:val="22"/>
        </w:rPr>
        <w:t>压缩机箱体侧板，不允许拼接，不允许使用外露框架，在降低整体重量的同时，有效保证箱体的整体强度及使用寿命。</w:t>
      </w:r>
    </w:p>
    <w:p>
      <w:pPr>
        <w:spacing w:line="380" w:lineRule="exact"/>
        <w:rPr>
          <w:rFonts w:ascii="宋体" w:hAnsi="宋体"/>
          <w:bCs/>
          <w:sz w:val="22"/>
          <w:szCs w:val="22"/>
        </w:rPr>
      </w:pPr>
      <w:r>
        <w:rPr>
          <w:rFonts w:hint="eastAsia" w:ascii="宋体" w:hAnsi="宋体"/>
          <w:bCs/>
          <w:sz w:val="22"/>
          <w:szCs w:val="22"/>
        </w:rPr>
        <w:t>（3）压缩机所有外露金属表面均需做防锈处理，与垃圾直接接触的钢板也需要进行防腐处理。</w:t>
      </w:r>
    </w:p>
    <w:p>
      <w:pPr>
        <w:spacing w:line="380" w:lineRule="exact"/>
        <w:rPr>
          <w:rFonts w:ascii="宋体" w:hAnsi="宋体"/>
          <w:bCs/>
          <w:sz w:val="22"/>
          <w:szCs w:val="22"/>
        </w:rPr>
      </w:pPr>
      <w:r>
        <w:rPr>
          <w:rFonts w:hint="eastAsia" w:ascii="宋体" w:hAnsi="宋体"/>
          <w:bCs/>
          <w:sz w:val="22"/>
          <w:szCs w:val="22"/>
        </w:rPr>
        <w:t>（4）压缩机液压泵站采用电机、油泵、油箱、控制阀集成式结构，油泵安装于油箱内。</w:t>
      </w:r>
    </w:p>
    <w:p>
      <w:pPr>
        <w:spacing w:line="380" w:lineRule="exact"/>
        <w:rPr>
          <w:rFonts w:hint="eastAsia" w:ascii="宋体" w:hAnsi="宋体"/>
          <w:bCs/>
          <w:sz w:val="22"/>
          <w:szCs w:val="22"/>
        </w:rPr>
      </w:pPr>
      <w:r>
        <w:rPr>
          <w:rFonts w:hint="eastAsia" w:ascii="宋体" w:hAnsi="宋体"/>
          <w:bCs/>
          <w:sz w:val="22"/>
          <w:szCs w:val="22"/>
        </w:rPr>
        <w:t>（5）上料机构需具备自动缓冲装置，避免上料作业时受料斗与地面的冲击以及受料斗翻转到位对箱体的冲击；</w:t>
      </w:r>
    </w:p>
    <w:p>
      <w:pPr>
        <w:spacing w:line="380" w:lineRule="exact"/>
        <w:rPr>
          <w:rFonts w:hint="eastAsia" w:ascii="宋体" w:hAnsi="宋体"/>
          <w:bCs/>
          <w:sz w:val="22"/>
          <w:szCs w:val="22"/>
        </w:rPr>
      </w:pPr>
      <w:r>
        <w:rPr>
          <w:rFonts w:hint="eastAsia" w:ascii="宋体" w:hAnsi="宋体"/>
          <w:bCs/>
          <w:sz w:val="22"/>
          <w:szCs w:val="22"/>
        </w:rPr>
        <w:t>（6）箱体后门</w:t>
      </w:r>
      <w:r>
        <w:rPr>
          <w:rFonts w:ascii="宋体" w:hAnsi="宋体"/>
          <w:bCs/>
          <w:sz w:val="22"/>
          <w:szCs w:val="22"/>
        </w:rPr>
        <w:t>密封</w:t>
      </w:r>
      <w:r>
        <w:rPr>
          <w:rFonts w:hint="eastAsia" w:ascii="宋体" w:hAnsi="宋体"/>
          <w:bCs/>
          <w:sz w:val="22"/>
          <w:szCs w:val="22"/>
        </w:rPr>
        <w:t>液控双重锁钩锁紧装置，后门密封可调节装置</w:t>
      </w:r>
      <w:r>
        <w:rPr>
          <w:rFonts w:ascii="宋体" w:hAnsi="宋体"/>
          <w:bCs/>
          <w:sz w:val="22"/>
          <w:szCs w:val="22"/>
        </w:rPr>
        <w:t>，</w:t>
      </w:r>
      <w:r>
        <w:rPr>
          <w:rFonts w:hint="eastAsia" w:ascii="宋体" w:hAnsi="宋体"/>
          <w:bCs/>
          <w:sz w:val="22"/>
          <w:szCs w:val="22"/>
        </w:rPr>
        <w:t>采用两侧加中间五点锁紧，</w:t>
      </w:r>
      <w:r>
        <w:rPr>
          <w:rFonts w:ascii="宋体" w:hAnsi="宋体"/>
          <w:bCs/>
          <w:sz w:val="22"/>
          <w:szCs w:val="22"/>
        </w:rPr>
        <w:t>确保运输过程中不会发生二次污染</w:t>
      </w:r>
      <w:r>
        <w:rPr>
          <w:rFonts w:hint="eastAsia" w:ascii="宋体" w:hAnsi="宋体"/>
          <w:bCs/>
          <w:sz w:val="22"/>
          <w:szCs w:val="22"/>
        </w:rPr>
        <w:t>；</w:t>
      </w:r>
    </w:p>
    <w:p>
      <w:pPr>
        <w:spacing w:line="380" w:lineRule="exact"/>
        <w:rPr>
          <w:rFonts w:hint="eastAsia" w:ascii="宋体" w:hAnsi="宋体"/>
          <w:bCs/>
          <w:sz w:val="22"/>
          <w:szCs w:val="22"/>
        </w:rPr>
      </w:pPr>
      <w:r>
        <w:rPr>
          <w:rFonts w:hint="eastAsia" w:ascii="宋体" w:hAnsi="宋体"/>
          <w:bCs/>
          <w:sz w:val="22"/>
          <w:szCs w:val="22"/>
        </w:rPr>
        <w:t>（7）压缩机电气系统采用专用工业控制器，采用不小于</w:t>
      </w:r>
      <w:r>
        <w:rPr>
          <w:rFonts w:hint="eastAsia" w:ascii="宋体" w:hAnsi="宋体"/>
          <w:sz w:val="22"/>
          <w:szCs w:val="22"/>
        </w:rPr>
        <w:t>5寸的触摸屏，能够实时显示工作状态；操作界面能够体现工作参数查询/设置、故障报警等功能，监控界面能够显示“箱满报警”、“液位过低警报”、“油温过高警报”、“液压故障”、“相序错误”等异常工作状态的警告提醒。</w:t>
      </w:r>
    </w:p>
    <w:p>
      <w:pPr>
        <w:spacing w:line="380" w:lineRule="exact"/>
        <w:rPr>
          <w:rFonts w:hint="eastAsia" w:ascii="宋体" w:hAnsi="宋体"/>
          <w:bCs/>
          <w:sz w:val="22"/>
          <w:szCs w:val="22"/>
        </w:rPr>
      </w:pPr>
      <w:r>
        <w:rPr>
          <w:rFonts w:hint="eastAsia" w:ascii="宋体" w:hAnsi="宋体"/>
          <w:bCs/>
          <w:sz w:val="22"/>
          <w:szCs w:val="22"/>
        </w:rPr>
        <w:t>（8）操作箱体集控制系统、电源插口及遥控器接口于一体，集成化设计，需配备安全钥匙。</w:t>
      </w:r>
    </w:p>
    <w:p>
      <w:pPr>
        <w:spacing w:line="380" w:lineRule="exact"/>
        <w:rPr>
          <w:rFonts w:hint="eastAsia" w:ascii="宋体" w:hAnsi="宋体"/>
          <w:bCs/>
          <w:sz w:val="22"/>
          <w:szCs w:val="22"/>
        </w:rPr>
      </w:pPr>
      <w:r>
        <w:rPr>
          <w:rFonts w:hint="eastAsia" w:ascii="宋体" w:hAnsi="宋体"/>
          <w:bCs/>
          <w:sz w:val="22"/>
          <w:szCs w:val="22"/>
        </w:rPr>
        <w:t>（9）压缩机配置控制盒和遥控两套操作系统，独立切换，方便站内人员使用。</w:t>
      </w:r>
    </w:p>
    <w:p>
      <w:pPr>
        <w:spacing w:line="380" w:lineRule="exact"/>
        <w:rPr>
          <w:rFonts w:hint="eastAsia" w:ascii="宋体" w:hAnsi="宋体"/>
          <w:bCs/>
          <w:sz w:val="22"/>
          <w:szCs w:val="22"/>
        </w:rPr>
      </w:pPr>
      <w:r>
        <w:rPr>
          <w:rFonts w:hint="eastAsia" w:ascii="宋体" w:hAnsi="宋体"/>
          <w:bCs/>
          <w:sz w:val="22"/>
          <w:szCs w:val="22"/>
        </w:rPr>
        <w:t>（10）设备关键零部件：液压阀块、油泵、电机、外接电源及线控操作器均采用优质材料原件。</w:t>
      </w:r>
    </w:p>
    <w:p>
      <w:pPr>
        <w:spacing w:line="380" w:lineRule="exact"/>
        <w:rPr>
          <w:rFonts w:hint="eastAsia" w:ascii="宋体" w:hAnsi="宋体"/>
          <w:bCs/>
          <w:sz w:val="22"/>
          <w:szCs w:val="22"/>
        </w:rPr>
      </w:pPr>
      <w:r>
        <w:rPr>
          <w:rFonts w:hint="eastAsia" w:ascii="宋体" w:hAnsi="宋体"/>
          <w:bCs/>
          <w:sz w:val="22"/>
          <w:szCs w:val="22"/>
        </w:rPr>
        <w:t>（11）箱体滚轮安装于箱体尾部，滚轮与箱体后门分开，避免箱体勾起和卸载时后门及密封条受力，提升箱体的密封能力。</w:t>
      </w:r>
    </w:p>
    <w:p>
      <w:pPr>
        <w:autoSpaceDE w:val="0"/>
        <w:autoSpaceDN w:val="0"/>
        <w:spacing w:line="400" w:lineRule="exact"/>
        <w:rPr>
          <w:rFonts w:hint="eastAsia" w:ascii="宋体" w:hAnsi="宋体" w:cs="宋体"/>
          <w:b/>
          <w:bCs/>
          <w:spacing w:val="1"/>
          <w:sz w:val="22"/>
          <w:szCs w:val="22"/>
        </w:rPr>
      </w:pPr>
      <w:r>
        <w:rPr>
          <w:rFonts w:hint="eastAsia" w:ascii="宋体" w:hAnsi="宋体" w:cs="宋体"/>
          <w:b/>
          <w:bCs/>
          <w:spacing w:val="1"/>
          <w:sz w:val="22"/>
          <w:szCs w:val="22"/>
        </w:rPr>
        <w:t>二、采购要求</w:t>
      </w:r>
    </w:p>
    <w:p>
      <w:pPr>
        <w:autoSpaceDE w:val="0"/>
        <w:autoSpaceDN w:val="0"/>
        <w:spacing w:line="400" w:lineRule="exact"/>
        <w:ind w:firstLine="442" w:firstLineChars="200"/>
        <w:rPr>
          <w:rFonts w:hint="eastAsia" w:ascii="宋体" w:hAnsi="宋体" w:cs="宋体"/>
          <w:b/>
          <w:bCs/>
          <w:sz w:val="22"/>
          <w:szCs w:val="22"/>
        </w:rPr>
      </w:pPr>
      <w:r>
        <w:rPr>
          <w:rFonts w:hint="eastAsia" w:ascii="宋体" w:hAnsi="宋体" w:cs="宋体"/>
          <w:b/>
          <w:bCs/>
          <w:sz w:val="22"/>
          <w:szCs w:val="22"/>
        </w:rPr>
        <w:t>1、提供符合国家相应标准及规范生产的产品，并保证其使用的安全性与可靠性。投标人应在报价文件中明确产品具体配置说明、技术指标。</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2、提供制造商原装、全新的、符合国家及用户提出的有关质量标准的产品。</w:t>
      </w:r>
    </w:p>
    <w:p>
      <w:pPr>
        <w:autoSpaceDE w:val="0"/>
        <w:autoSpaceDN w:val="0"/>
        <w:spacing w:line="400" w:lineRule="exact"/>
        <w:ind w:firstLine="440" w:firstLineChars="200"/>
        <w:rPr>
          <w:rFonts w:hint="eastAsia" w:ascii="宋体" w:hAnsi="宋体" w:cs="宋体"/>
          <w:sz w:val="22"/>
          <w:szCs w:val="22"/>
        </w:rPr>
      </w:pPr>
      <w:r>
        <w:rPr>
          <w:rFonts w:hint="eastAsia" w:ascii="宋体" w:hAnsi="宋体" w:cs="宋体"/>
          <w:sz w:val="22"/>
          <w:szCs w:val="22"/>
        </w:rPr>
        <w:t>3、对中标产品使用的安全性、有效性及可靠性承担全部责任，须保证合同验收阶段的性能检验报告与报价文件明确的技术指标一致。</w:t>
      </w:r>
    </w:p>
    <w:p>
      <w:pPr>
        <w:autoSpaceDE w:val="0"/>
        <w:autoSpaceDN w:val="0"/>
        <w:spacing w:line="400" w:lineRule="exact"/>
        <w:ind w:firstLine="440" w:firstLineChars="200"/>
        <w:rPr>
          <w:rFonts w:hint="eastAsia" w:ascii="宋体" w:hAnsi="宋体" w:cs="宋体"/>
          <w:sz w:val="22"/>
          <w:szCs w:val="22"/>
        </w:rPr>
      </w:pPr>
      <w:r>
        <w:rPr>
          <w:rFonts w:hint="eastAsia" w:ascii="宋体" w:hAnsi="宋体" w:cs="宋体"/>
          <w:sz w:val="22"/>
          <w:szCs w:val="22"/>
        </w:rPr>
        <w:t>4、保证提供的产品为合法企业生产的合法产品，符合中华人民共和国有关法律、法规、规章、文件、标准、规范的规定。</w:t>
      </w:r>
    </w:p>
    <w:p>
      <w:pPr>
        <w:autoSpaceDE w:val="0"/>
        <w:autoSpaceDN w:val="0"/>
        <w:spacing w:line="400" w:lineRule="exact"/>
        <w:ind w:firstLine="440" w:firstLineChars="200"/>
        <w:rPr>
          <w:rFonts w:hint="eastAsia" w:ascii="宋体" w:hAnsi="宋体" w:cs="宋体"/>
          <w:sz w:val="22"/>
          <w:szCs w:val="22"/>
        </w:rPr>
      </w:pPr>
      <w:r>
        <w:rPr>
          <w:rFonts w:hint="eastAsia" w:ascii="宋体" w:hAnsi="宋体" w:cs="宋体"/>
          <w:sz w:val="22"/>
          <w:szCs w:val="22"/>
        </w:rPr>
        <w:t>5、投标产品技术指标具有更高的可靠性、安全性、耐用性。</w:t>
      </w:r>
    </w:p>
    <w:p>
      <w:pPr>
        <w:autoSpaceDE w:val="0"/>
        <w:autoSpaceDN w:val="0"/>
        <w:spacing w:line="400" w:lineRule="exact"/>
        <w:ind w:firstLine="442" w:firstLineChars="200"/>
        <w:rPr>
          <w:rFonts w:hint="eastAsia" w:ascii="宋体" w:hAnsi="宋体" w:cs="宋体"/>
          <w:b/>
          <w:bCs/>
          <w:sz w:val="22"/>
          <w:szCs w:val="22"/>
        </w:rPr>
      </w:pPr>
      <w:r>
        <w:rPr>
          <w:rFonts w:hint="eastAsia" w:ascii="宋体" w:hAnsi="宋体" w:cs="宋体"/>
          <w:b/>
          <w:bCs/>
          <w:sz w:val="22"/>
          <w:szCs w:val="22"/>
        </w:rPr>
        <w:t>6、工作条件：提供的产品应在采购人所处的条件下正常使用，投标人可以通过现场踏勘进行了解。</w:t>
      </w:r>
    </w:p>
    <w:p>
      <w:pPr>
        <w:autoSpaceDE w:val="0"/>
        <w:autoSpaceDN w:val="0"/>
        <w:spacing w:line="400" w:lineRule="exact"/>
        <w:ind w:firstLine="442" w:firstLineChars="200"/>
        <w:rPr>
          <w:rFonts w:hint="eastAsia" w:ascii="宋体" w:hAnsi="宋体" w:cs="宋体"/>
          <w:b/>
          <w:bCs/>
          <w:spacing w:val="1"/>
          <w:sz w:val="22"/>
          <w:szCs w:val="22"/>
        </w:rPr>
      </w:pPr>
      <w:r>
        <w:rPr>
          <w:rFonts w:hint="eastAsia" w:ascii="宋体" w:hAnsi="宋体" w:cs="宋体"/>
          <w:b/>
          <w:bCs/>
          <w:sz w:val="22"/>
          <w:szCs w:val="22"/>
        </w:rPr>
        <w:t>7、环境要求：报价产品安装运行对环境的要求应能满足采购人的现有条件，如报价产品对环境有特别要求，投标人须在报价文件中进行明确，否则，未适应产品安装运行所要具备的环境条件的营造费用由投标人承担。投标人可通过现场踏勘了解采购人能够提供的现有条件。</w:t>
      </w:r>
    </w:p>
    <w:p>
      <w:pPr>
        <w:autoSpaceDE w:val="0"/>
        <w:autoSpaceDN w:val="0"/>
        <w:spacing w:line="400" w:lineRule="exact"/>
        <w:rPr>
          <w:rFonts w:hint="eastAsia" w:ascii="宋体" w:hAnsi="宋体" w:cs="宋体"/>
          <w:b/>
          <w:bCs/>
          <w:spacing w:val="1"/>
          <w:sz w:val="22"/>
          <w:szCs w:val="22"/>
        </w:rPr>
      </w:pPr>
      <w:r>
        <w:rPr>
          <w:rFonts w:hint="eastAsia" w:ascii="宋体" w:hAnsi="宋体" w:cs="宋体"/>
          <w:b/>
          <w:bCs/>
          <w:spacing w:val="1"/>
          <w:sz w:val="22"/>
          <w:szCs w:val="22"/>
        </w:rPr>
        <w:t>三、工期：</w:t>
      </w:r>
    </w:p>
    <w:p>
      <w:pPr>
        <w:autoSpaceDE w:val="0"/>
        <w:autoSpaceDN w:val="0"/>
        <w:spacing w:line="400" w:lineRule="exact"/>
        <w:ind w:firstLine="440" w:firstLineChars="200"/>
        <w:rPr>
          <w:rFonts w:hint="eastAsia" w:ascii="宋体" w:hAnsi="宋体" w:cs="宋体"/>
          <w:b/>
          <w:bCs/>
          <w:spacing w:val="1"/>
          <w:sz w:val="22"/>
          <w:szCs w:val="22"/>
        </w:rPr>
      </w:pPr>
      <w:r>
        <w:rPr>
          <w:rFonts w:hint="eastAsia" w:ascii="宋体" w:hAnsi="宋体" w:cs="宋体"/>
          <w:sz w:val="22"/>
          <w:szCs w:val="22"/>
        </w:rPr>
        <w:t>合同签订后接采购人通知后</w:t>
      </w:r>
      <w:r>
        <w:rPr>
          <w:rFonts w:hint="eastAsia" w:ascii="宋体" w:hAnsi="宋体" w:cs="宋体"/>
          <w:sz w:val="22"/>
          <w:szCs w:val="22"/>
          <w:u w:val="single"/>
        </w:rPr>
        <w:t xml:space="preserve"> 30 </w:t>
      </w:r>
      <w:r>
        <w:rPr>
          <w:rFonts w:hint="eastAsia" w:ascii="宋体" w:hAnsi="宋体" w:cs="宋体"/>
          <w:sz w:val="22"/>
          <w:szCs w:val="22"/>
        </w:rPr>
        <w:t>日历天内完工</w:t>
      </w:r>
      <w:r>
        <w:rPr>
          <w:rFonts w:hint="eastAsia" w:ascii="宋体" w:hAnsi="宋体" w:cs="宋体"/>
          <w:spacing w:val="1"/>
          <w:sz w:val="22"/>
          <w:szCs w:val="22"/>
        </w:rPr>
        <w:t>。</w:t>
      </w:r>
    </w:p>
    <w:p>
      <w:pPr>
        <w:autoSpaceDE w:val="0"/>
        <w:autoSpaceDN w:val="0"/>
        <w:spacing w:line="400" w:lineRule="exact"/>
        <w:rPr>
          <w:rFonts w:hint="eastAsia" w:ascii="宋体" w:hAnsi="宋体" w:cs="宋体"/>
          <w:b/>
          <w:bCs/>
          <w:spacing w:val="1"/>
          <w:sz w:val="22"/>
          <w:szCs w:val="22"/>
        </w:rPr>
      </w:pPr>
      <w:r>
        <w:rPr>
          <w:rFonts w:hint="eastAsia" w:ascii="宋体" w:hAnsi="宋体" w:cs="宋体"/>
          <w:b/>
          <w:bCs/>
          <w:spacing w:val="1"/>
          <w:sz w:val="22"/>
          <w:szCs w:val="22"/>
        </w:rPr>
        <w:t>四、产品质量及质保期要求</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1、售前服务</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供应商完成实施前所有准备工作。</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2、售中服务</w:t>
      </w:r>
    </w:p>
    <w:p>
      <w:pPr>
        <w:autoSpaceDE w:val="0"/>
        <w:autoSpaceDN w:val="0"/>
        <w:spacing w:line="400" w:lineRule="exact"/>
        <w:ind w:firstLine="440" w:firstLineChars="200"/>
        <w:rPr>
          <w:rFonts w:hint="eastAsia" w:ascii="宋体" w:hAnsi="宋体" w:cs="宋体"/>
          <w:sz w:val="22"/>
          <w:szCs w:val="22"/>
        </w:rPr>
      </w:pPr>
      <w:r>
        <w:rPr>
          <w:rFonts w:hint="eastAsia" w:ascii="宋体" w:hAnsi="宋体" w:cs="宋体"/>
          <w:sz w:val="22"/>
          <w:szCs w:val="22"/>
        </w:rPr>
        <w:t>2.1包括运输、保险、卸货到采购人指定地点、保管、开箱验收。</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2.2实施地点：按采购人指定地点。</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2.3交货方式：现场交货。</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2.4实施周期：合同签订后接采购人通知后</w:t>
      </w:r>
      <w:r>
        <w:rPr>
          <w:rFonts w:hint="eastAsia" w:ascii="宋体" w:hAnsi="宋体" w:cs="宋体"/>
          <w:sz w:val="22"/>
          <w:szCs w:val="22"/>
          <w:u w:val="single"/>
        </w:rPr>
        <w:t xml:space="preserve"> 30 </w:t>
      </w:r>
      <w:r>
        <w:rPr>
          <w:rFonts w:hint="eastAsia" w:ascii="宋体" w:hAnsi="宋体" w:cs="宋体"/>
          <w:sz w:val="22"/>
          <w:szCs w:val="22"/>
        </w:rPr>
        <w:t>日历天内完工。</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2.5最终验收：采购人对项目验收合格后，双方共同签署验收合格证书。验收中发现产品达不到验收标准或合同规定的性能指标，乙方必须更换产品。并且赔偿由此给用户造成的损失。验收费用（含第三方检测费，如有）由乙方承担。</w:t>
      </w:r>
    </w:p>
    <w:p>
      <w:pPr>
        <w:framePr w:w="432" w:wrap="around" w:vAnchor="margin" w:hAnchor="text" w:x="1894" w:y="14698"/>
        <w:autoSpaceDE w:val="0"/>
        <w:autoSpaceDN w:val="0"/>
        <w:spacing w:line="400" w:lineRule="exact"/>
        <w:rPr>
          <w:rFonts w:hint="eastAsia" w:ascii="宋体" w:hAnsi="宋体" w:cs="宋体"/>
          <w:sz w:val="22"/>
          <w:szCs w:val="22"/>
        </w:rPr>
      </w:pPr>
    </w:p>
    <w:p>
      <w:pPr>
        <w:framePr w:w="432" w:wrap="around" w:vAnchor="margin" w:hAnchor="text" w:x="1894" w:y="14698"/>
        <w:autoSpaceDE w:val="0"/>
        <w:autoSpaceDN w:val="0"/>
        <w:spacing w:before="107" w:line="400" w:lineRule="exact"/>
        <w:rPr>
          <w:rFonts w:hint="eastAsia" w:ascii="宋体" w:hAnsi="宋体" w:cs="宋体"/>
          <w:sz w:val="22"/>
          <w:szCs w:val="22"/>
        </w:rPr>
      </w:pP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2.6其他要求详见采购合同。</w:t>
      </w:r>
    </w:p>
    <w:p>
      <w:pPr>
        <w:autoSpaceDE w:val="0"/>
        <w:autoSpaceDN w:val="0"/>
        <w:spacing w:line="400" w:lineRule="exact"/>
        <w:ind w:firstLine="220" w:firstLineChars="100"/>
        <w:rPr>
          <w:rFonts w:hint="eastAsia" w:ascii="宋体" w:hAnsi="宋体" w:cs="宋体"/>
          <w:sz w:val="22"/>
          <w:szCs w:val="22"/>
        </w:rPr>
      </w:pPr>
      <w:r>
        <w:rPr>
          <w:rFonts w:hint="eastAsia" w:ascii="宋体" w:hAnsi="宋体" w:cs="宋体"/>
          <w:sz w:val="22"/>
          <w:szCs w:val="22"/>
        </w:rPr>
        <w:t>3、售后服务</w:t>
      </w:r>
    </w:p>
    <w:p>
      <w:pPr>
        <w:pStyle w:val="8"/>
        <w:spacing w:after="0" w:line="400" w:lineRule="exact"/>
        <w:ind w:firstLine="0"/>
        <w:rPr>
          <w:rFonts w:hint="eastAsia" w:ascii="宋体" w:hAnsi="宋体" w:cs="宋体"/>
          <w:b/>
          <w:bCs/>
          <w:sz w:val="22"/>
          <w:szCs w:val="22"/>
        </w:rPr>
      </w:pPr>
      <w:r>
        <w:rPr>
          <w:rFonts w:hint="eastAsia" w:ascii="宋体" w:hAnsi="宋体" w:cs="宋体"/>
          <w:b/>
          <w:bCs/>
          <w:sz w:val="22"/>
          <w:szCs w:val="22"/>
        </w:rPr>
        <w:t>3.1免费质保期：</w:t>
      </w:r>
      <w:r>
        <w:rPr>
          <w:rFonts w:hint="eastAsia" w:ascii="宋体" w:hAnsi="宋体" w:cs="宋体"/>
          <w:b/>
          <w:bCs/>
          <w:sz w:val="22"/>
          <w:szCs w:val="22"/>
          <w:u w:val="single"/>
        </w:rPr>
        <w:t xml:space="preserve">  3  </w:t>
      </w:r>
      <w:r>
        <w:rPr>
          <w:rFonts w:hint="eastAsia" w:ascii="宋体" w:hAnsi="宋体" w:cs="宋体"/>
          <w:b/>
          <w:bCs/>
          <w:sz w:val="22"/>
          <w:szCs w:val="22"/>
        </w:rPr>
        <w:t>年。</w:t>
      </w:r>
    </w:p>
    <w:p>
      <w:pPr>
        <w:pStyle w:val="8"/>
        <w:spacing w:after="0" w:line="400" w:lineRule="exact"/>
        <w:ind w:firstLine="0"/>
        <w:rPr>
          <w:rFonts w:hint="eastAsia" w:ascii="宋体" w:hAnsi="宋体" w:cs="宋体"/>
          <w:sz w:val="22"/>
          <w:szCs w:val="22"/>
        </w:rPr>
      </w:pPr>
      <w:r>
        <w:rPr>
          <w:rFonts w:hint="eastAsia" w:ascii="宋体" w:hAnsi="宋体" w:cs="宋体"/>
          <w:sz w:val="22"/>
          <w:szCs w:val="22"/>
        </w:rPr>
        <w:t>3.2质保期自竣工验收合格并移交采购人之日起计算。</w:t>
      </w:r>
    </w:p>
    <w:p>
      <w:pPr>
        <w:autoSpaceDE w:val="0"/>
        <w:autoSpaceDN w:val="0"/>
        <w:spacing w:line="400" w:lineRule="exact"/>
        <w:ind w:firstLine="440" w:firstLineChars="200"/>
        <w:rPr>
          <w:rFonts w:hint="eastAsia" w:ascii="宋体" w:hAnsi="宋体" w:cs="宋体"/>
          <w:sz w:val="22"/>
          <w:szCs w:val="22"/>
        </w:rPr>
      </w:pPr>
      <w:r>
        <w:rPr>
          <w:rFonts w:hint="eastAsia" w:ascii="宋体" w:hAnsi="宋体" w:cs="宋体"/>
          <w:sz w:val="22"/>
          <w:szCs w:val="22"/>
        </w:rPr>
        <w:t>3.3 保修服务为上门服务。在免费保修期内，乙方提供7×24小时电话响应服务。产品出现非人为因素故障，中标供应商负责提供免费维修服务，中标供应商在接到采购人（用户）的维护（维修）及技术服务要求后应在1小时之内作出响应，并提出处理方案，如采购人（用户）需要，应在2小时之内派出专业工程师维修人员到现场维护（维修）。</w:t>
      </w:r>
    </w:p>
    <w:p>
      <w:pPr>
        <w:autoSpaceDE w:val="0"/>
        <w:autoSpaceDN w:val="0"/>
        <w:spacing w:line="400" w:lineRule="exact"/>
        <w:ind w:firstLine="418" w:firstLineChars="190"/>
        <w:rPr>
          <w:rFonts w:hint="eastAsia" w:ascii="宋体" w:hAnsi="宋体" w:cs="宋体"/>
          <w:sz w:val="22"/>
          <w:szCs w:val="22"/>
        </w:rPr>
      </w:pPr>
      <w:r>
        <w:rPr>
          <w:rFonts w:hint="eastAsia" w:ascii="宋体" w:hAnsi="宋体" w:cs="宋体"/>
          <w:sz w:val="22"/>
          <w:szCs w:val="22"/>
        </w:rPr>
        <w:t>3.4售后服务内容：在保修期内，因产品制造质量不良而产生损坏或不能达到采购人（用户）的使用效果，中标供应商应提供免费维修直至更换。费用由中标供应商承担。</w:t>
      </w:r>
    </w:p>
    <w:p>
      <w:pPr>
        <w:pStyle w:val="4"/>
        <w:spacing w:before="0" w:after="0" w:line="400" w:lineRule="exact"/>
        <w:ind w:firstLine="442" w:firstLineChars="200"/>
        <w:rPr>
          <w:rFonts w:hint="eastAsia" w:ascii="宋体" w:hAnsi="宋体" w:eastAsia="宋体" w:cs="宋体"/>
          <w:sz w:val="22"/>
          <w:szCs w:val="22"/>
        </w:rPr>
      </w:pPr>
      <w:r>
        <w:rPr>
          <w:rFonts w:hint="eastAsia" w:ascii="宋体" w:hAnsi="宋体" w:eastAsia="宋体" w:cs="宋体"/>
          <w:sz w:val="22"/>
          <w:szCs w:val="22"/>
        </w:rPr>
        <w:t>五、付款与结算方式</w:t>
      </w:r>
    </w:p>
    <w:p>
      <w:pPr>
        <w:tabs>
          <w:tab w:val="left" w:pos="525"/>
        </w:tabs>
        <w:spacing w:line="400" w:lineRule="exact"/>
        <w:ind w:left="-51" w:firstLine="480"/>
        <w:rPr>
          <w:rFonts w:hint="eastAsia" w:ascii="宋体" w:hAnsi="宋体" w:eastAsia="宋体" w:cs="宋体"/>
          <w:sz w:val="22"/>
          <w:szCs w:val="22"/>
          <w:lang w:eastAsia="zh-CN"/>
        </w:rPr>
        <w:sectPr>
          <w:footerReference r:id="rId3" w:type="default"/>
          <w:pgSz w:w="11906" w:h="16838"/>
          <w:pgMar w:top="1417" w:right="1060" w:bottom="721" w:left="1047" w:header="851" w:footer="992" w:gutter="283"/>
          <w:pgNumType w:start="1"/>
          <w:cols w:space="720" w:num="1"/>
          <w:docGrid w:linePitch="312" w:charSpace="0"/>
        </w:sectPr>
      </w:pPr>
      <w:r>
        <w:rPr>
          <w:rFonts w:hint="eastAsia" w:ascii="宋体" w:hAnsi="宋体" w:cs="宋体"/>
          <w:sz w:val="22"/>
          <w:szCs w:val="22"/>
        </w:rPr>
        <w:t>安装调试完成后支付至合同总价的70%，采购人组织验收合格后支付至合同总价的100%。中标供应商在向采购人结算费用时须提供增值税专用发</w:t>
      </w:r>
      <w:r>
        <w:rPr>
          <w:rFonts w:hint="eastAsia" w:ascii="宋体" w:hAnsi="宋体" w:cs="宋体"/>
          <w:sz w:val="22"/>
          <w:szCs w:val="22"/>
          <w:lang w:eastAsia="zh-CN"/>
        </w:rPr>
        <w:t>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SmallGap" w:color="auto" w:sz="12" w:space="0"/>
      </w:pBdr>
      <w:jc w:val="center"/>
      <w:rPr>
        <w:sz w:val="20"/>
        <w:szCs w:val="20"/>
      </w:rPr>
    </w:pPr>
  </w:p>
  <w:p>
    <w:pPr>
      <w:pStyle w:val="7"/>
      <w:tabs>
        <w:tab w:val="left" w:pos="5172"/>
        <w:tab w:val="clear" w:pos="4153"/>
      </w:tabs>
      <w:ind w:right="360"/>
    </w:pPr>
    <w:r>
      <w:rPr>
        <w:sz w:val="32"/>
      </w:rPr>
      <mc:AlternateContent>
        <mc:Choice Requires="wps">
          <w:drawing>
            <wp:anchor distT="0" distB="0" distL="114300" distR="114300" simplePos="0" relativeHeight="251660288" behindDoc="0" locked="0" layoutInCell="1" allowOverlap="1">
              <wp:simplePos x="0" y="0"/>
              <wp:positionH relativeFrom="margin">
                <wp:posOffset>5985510</wp:posOffset>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471.3pt;margin-top:1pt;height:144pt;width:144pt;mso-position-horizontal-relative:margin;mso-wrap-style:none;z-index:251660288;mso-width-relative:page;mso-height-relative:page;" filled="f" stroked="f" coordsize="21600,21600" o:gfxdata="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IXRgzYAAAACgEAAA8AAAAAAAAAAQAgAAAAIgAAAGRycy9kb3ducmV2LnhtbFBLAQIUABQA&#10;AAAIAIdO4kDEYifBtwEAAFUDAAAOAAAAAAAAAAEAIAAAACcBAABkcnMvZTJvRG9jLnhtbFBLBQYA&#10;AAAABgAGAFkBAABQBQAAAAA=&#10;">
              <v:path/>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r>
      <w:rPr>
        <w:rFonts w:hint="eastAsia"/>
        <w:sz w:val="20"/>
        <w:szCs w:val="20"/>
      </w:rPr>
      <w:t>采购代理机构：浙江中兰工程项目管理有限公司</w:t>
    </w:r>
    <w:r>
      <mc:AlternateContent>
        <mc:Choice Requires="wps">
          <w:drawing>
            <wp:anchor distT="0" distB="0" distL="114300" distR="114300" simplePos="0" relativeHeight="251659264" behindDoc="0" locked="0" layoutInCell="1" allowOverlap="1">
              <wp:simplePos x="0" y="0"/>
              <wp:positionH relativeFrom="margin">
                <wp:posOffset>3061970</wp:posOffset>
              </wp:positionH>
              <wp:positionV relativeFrom="paragraph">
                <wp:posOffset>-38100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7"/>
                            <w:rPr>
                              <w:rStyle w:val="11"/>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241.1pt;margin-top:-3pt;height:10.35pt;width:9.05pt;mso-position-horizontal-relative:margin;mso-wrap-style:none;z-index:251659264;mso-width-relative:page;mso-height-relative:page;" filled="f" stroked="f" coordsize="21600,21600" o:gfxdata="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A5&#10;I3vWAAAACQEAAA8AAAAAAAAAAQAgAAAAIgAAAGRycy9kb3ducmV2LnhtbFBLAQIUABQAAAAIAIdO&#10;4kBWfffjswEAAEkDAAAOAAAAAAAAAAEAIAAAACUBAABkcnMvZTJvRG9jLnhtbFBLBQYAAAAABgAG&#10;AFkBAABKBQAAAAA=&#10;">
              <v:path/>
              <v:fill on="f" focussize="0,0"/>
              <v:stroke on="f"/>
              <v:imagedata o:title=""/>
              <o:lock v:ext="edit" grouping="f" rotation="f" text="f" aspectratio="f"/>
              <v:textbox inset="0mm,0mm,0mm,0mm" style="mso-fit-shape-to-text:t;">
                <w:txbxContent>
                  <w:p>
                    <w:pPr>
                      <w:pStyle w:val="7"/>
                      <w:rPr>
                        <w:rStyle w:val="11"/>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009BF"/>
    <w:rsid w:val="2D600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pageBreakBefore/>
      <w:spacing w:before="340" w:after="330" w:line="578" w:lineRule="auto"/>
      <w:jc w:val="center"/>
      <w:outlineLvl w:val="0"/>
    </w:pPr>
    <w:rPr>
      <w:rFonts w:ascii="Calibri" w:hAnsi="Calibri" w:eastAsia="仿宋_GB2312"/>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pPr>
    <w:rPr>
      <w:rFonts w:ascii="Calibri" w:hAnsi="Calibri" w:eastAsia="仿宋_GB2312"/>
      <w:sz w:val="24"/>
      <w:szCs w:val="21"/>
    </w:rPr>
  </w:style>
  <w:style w:type="paragraph" w:styleId="5">
    <w:name w:val="Normal Indent"/>
    <w:basedOn w:val="1"/>
    <w:next w:val="6"/>
    <w:uiPriority w:val="0"/>
    <w:pPr>
      <w:spacing w:line="440" w:lineRule="exact"/>
      <w:ind w:firstLine="420" w:firstLineChars="200"/>
    </w:pPr>
    <w:rPr>
      <w:sz w:val="24"/>
    </w:rPr>
  </w:style>
  <w:style w:type="paragraph" w:styleId="6">
    <w:name w:val="Body Text Indent"/>
    <w:basedOn w:val="1"/>
    <w:next w:val="5"/>
    <w:qFormat/>
    <w:uiPriority w:val="0"/>
    <w:pPr>
      <w:spacing w:after="120"/>
      <w:ind w:left="420" w:leftChars="200"/>
    </w:pPr>
  </w:style>
  <w:style w:type="paragraph" w:styleId="7">
    <w:name w:val="footer"/>
    <w:basedOn w:val="1"/>
    <w:uiPriority w:val="0"/>
    <w:pPr>
      <w:tabs>
        <w:tab w:val="center" w:pos="4153"/>
        <w:tab w:val="right" w:pos="8306"/>
      </w:tabs>
      <w:snapToGrid w:val="0"/>
      <w:jc w:val="left"/>
    </w:pPr>
    <w:rPr>
      <w:sz w:val="18"/>
      <w:szCs w:val="18"/>
    </w:rPr>
  </w:style>
  <w:style w:type="paragraph" w:styleId="8">
    <w:name w:val="Body Text First Indent 2"/>
    <w:basedOn w:val="6"/>
    <w:next w:val="1"/>
    <w:qFormat/>
    <w:uiPriority w:val="99"/>
    <w:pPr>
      <w:ind w:firstLine="420"/>
    </w:p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2020-09-27T00:29:00Z</dcterms:created>
  <dc:creator>Administrator</dc:creator>
  <cp:lastModifiedBy>Administrator</cp:lastModifiedBy>
  <cp:lastPrinted>2020-09-27T00:30:53Z</cp:lastPrinted>
  <dcterms:modified xsi:type="dcterms:W3CDTF">2020-09-27T00:31:22Z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