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bookmarkStart w:id="1" w:name="_GoBack"/>
      <w:bookmarkEnd w:id="1"/>
      <w:bookmarkStart w:id="0" w:name="OLE_LINK3"/>
      <w:r>
        <w:rPr>
          <w:rFonts w:hint="eastAsia" w:ascii="Times New Roman" w:hAnsi="Times New Roman" w:eastAsia="黑体" w:cs="黑体"/>
          <w:color w:val="000000"/>
          <w:sz w:val="32"/>
          <w:szCs w:val="32"/>
        </w:rPr>
        <w:t>附件</w:t>
      </w:r>
      <w:r>
        <w:rPr>
          <w:rFonts w:hint="eastAsia" w:ascii="Times New Roman" w:hAnsi="Times New Roman" w:eastAsia="黑体" w:cs="Times New Roman"/>
          <w:color w:val="000000"/>
          <w:sz w:val="32"/>
          <w:szCs w:val="32"/>
          <w:lang w:val="en-US" w:eastAsia="zh-CN"/>
        </w:rPr>
        <w:t>6</w:t>
      </w:r>
      <w:r>
        <w:rPr>
          <w:rFonts w:hint="eastAsia" w:ascii="Times New Roman" w:hAnsi="Times New Roman" w:eastAsia="黑体" w:cs="黑体"/>
          <w:color w:val="000000"/>
          <w:sz w:val="32"/>
          <w:szCs w:val="32"/>
        </w:rPr>
        <w:t>：</w:t>
      </w:r>
    </w:p>
    <w:bookmarkEnd w:id="0"/>
    <w:p>
      <w:pPr>
        <w:spacing w:line="56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食品安全责任书</w:t>
      </w:r>
    </w:p>
    <w:p>
      <w:pPr>
        <w:spacing w:line="330" w:lineRule="atLeast"/>
        <w:jc w:val="center"/>
        <w:rPr>
          <w:rFonts w:ascii="Times New Roman" w:hAnsi="Times New Roman" w:cs="Times New Roman"/>
          <w:b/>
          <w:bCs/>
          <w:color w:val="000000"/>
          <w:sz w:val="36"/>
          <w:szCs w:val="36"/>
        </w:rPr>
      </w:pPr>
    </w:p>
    <w:p>
      <w:pPr>
        <w:spacing w:line="560" w:lineRule="exact"/>
        <w:ind w:firstLine="643" w:firstLineChars="200"/>
        <w:rPr>
          <w:rFonts w:ascii="Times New Roman" w:hAnsi="Times New Roman" w:cs="Times New Roman"/>
          <w:b/>
          <w:bCs/>
          <w:color w:val="000000"/>
          <w:sz w:val="32"/>
          <w:szCs w:val="32"/>
        </w:rPr>
      </w:pPr>
      <w:r>
        <w:rPr>
          <w:rFonts w:hint="eastAsia" w:ascii="宋体" w:hAnsi="宋体" w:cs="宋体"/>
          <w:b/>
          <w:bCs/>
          <w:color w:val="000000"/>
          <w:sz w:val="32"/>
          <w:szCs w:val="32"/>
        </w:rPr>
        <w:t>甲方：衢州职业技术学院</w:t>
      </w:r>
    </w:p>
    <w:p>
      <w:pPr>
        <w:spacing w:line="560" w:lineRule="exact"/>
        <w:ind w:firstLine="643" w:firstLineChars="200"/>
        <w:rPr>
          <w:rFonts w:ascii="Times New Roman" w:hAnsi="Times New Roman" w:cs="Times New Roman"/>
          <w:color w:val="000000"/>
          <w:sz w:val="32"/>
          <w:szCs w:val="32"/>
        </w:rPr>
      </w:pPr>
      <w:r>
        <w:rPr>
          <w:rFonts w:hint="eastAsia" w:ascii="宋体" w:hAnsi="宋体" w:cs="宋体"/>
          <w:b/>
          <w:bCs/>
          <w:color w:val="000000"/>
          <w:sz w:val="32"/>
          <w:szCs w:val="32"/>
        </w:rPr>
        <w:t>乙方：</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一、学校商业经营户经营食品、餐饮、超市类的，必须严格执行《中华人民共和国食品安全法》、《餐饮业食品卫生管理办法》，未取得食品流通许可证或餐饮服务许可证的，不得从事食品经营活动。食品从业人员必须经过卫生知识培训并取得合格证和有效的健康证方可上岗工作。</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二、乙方必须严把食品采购关，禁止采购下列食品：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1.</w:t>
      </w:r>
      <w:r>
        <w:rPr>
          <w:rFonts w:hint="eastAsia" w:ascii="仿宋_GB2312" w:hAnsi="宋体" w:eastAsia="仿宋_GB2312" w:cs="仿宋_GB2312"/>
          <w:color w:val="000000"/>
          <w:sz w:val="32"/>
          <w:szCs w:val="32"/>
        </w:rPr>
        <w:t>有毒、有害、腐烂变质、霉变、生虫、污秽不洁、混有异物、含对人体有伤害的食品添加剂或其它感官性状异常的食品。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2.</w:t>
      </w:r>
      <w:r>
        <w:rPr>
          <w:rFonts w:hint="eastAsia" w:ascii="仿宋_GB2312" w:hAnsi="宋体" w:eastAsia="仿宋_GB2312" w:cs="仿宋_GB2312"/>
          <w:color w:val="000000"/>
          <w:sz w:val="32"/>
          <w:szCs w:val="32"/>
        </w:rPr>
        <w:t>无检验合格证明的食品。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3.</w:t>
      </w:r>
      <w:r>
        <w:rPr>
          <w:rFonts w:hint="eastAsia" w:ascii="仿宋_GB2312" w:hAnsi="宋体" w:eastAsia="仿宋_GB2312" w:cs="仿宋_GB2312"/>
          <w:color w:val="000000"/>
          <w:sz w:val="32"/>
          <w:szCs w:val="32"/>
        </w:rPr>
        <w:t>超过保质期及其他不符合食品标签的定型包装食品。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4.</w:t>
      </w:r>
      <w:r>
        <w:rPr>
          <w:rFonts w:hint="eastAsia" w:ascii="仿宋_GB2312" w:hAnsi="宋体" w:eastAsia="仿宋_GB2312" w:cs="仿宋_GB2312"/>
          <w:color w:val="000000"/>
          <w:sz w:val="32"/>
          <w:szCs w:val="32"/>
        </w:rPr>
        <w:t>无卫生许可证的食品生产经营者供应的食品。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5.</w:t>
      </w:r>
      <w:r>
        <w:rPr>
          <w:rFonts w:hint="eastAsia" w:ascii="仿宋_GB2312" w:hAnsi="宋体" w:eastAsia="仿宋_GB2312" w:cs="仿宋_GB2312"/>
          <w:color w:val="000000"/>
          <w:sz w:val="32"/>
          <w:szCs w:val="32"/>
        </w:rPr>
        <w:t>无生产厂商、无生产日期、无保质期的</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三无</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食品</w:t>
      </w:r>
      <w:r>
        <w:rPr>
          <w:rFonts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只要存在一项即为</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三无</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产品</w:t>
      </w:r>
      <w:r>
        <w:rPr>
          <w:rFonts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三、乙方必须积极配合政府执法部门依法进行的食品质量监督检查和甲方的日常监管。</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四、发生食物中毒或疑似食物中毒时，乙方必须在</w:t>
      </w:r>
      <w:r>
        <w:rPr>
          <w:rFonts w:ascii="仿宋_GB2312" w:hAnsi="Times New Roman" w:eastAsia="仿宋_GB2312" w:cs="仿宋_GB2312"/>
          <w:color w:val="000000"/>
          <w:sz w:val="32"/>
          <w:szCs w:val="32"/>
        </w:rPr>
        <w:t>2</w:t>
      </w:r>
      <w:r>
        <w:rPr>
          <w:rFonts w:hint="eastAsia" w:ascii="仿宋_GB2312" w:hAnsi="宋体" w:eastAsia="仿宋_GB2312" w:cs="仿宋_GB2312"/>
          <w:color w:val="000000"/>
          <w:sz w:val="32"/>
          <w:szCs w:val="32"/>
        </w:rPr>
        <w:t>小时内向当地卫生行政部门报告，保留导致食物或可能造成食物中毒的食品，并提供其生产厂商、进货凭证、进货渠道，积极配合工商部门和卫生行政部门开展食品中毒事故的调查和处理。全部责任及一切费用由乙方负责，由行政执法部门依法处理。凡造成后果的，由国家司法机关追究乙方所有民事及刑事责任。</w:t>
      </w:r>
    </w:p>
    <w:p>
      <w:pPr>
        <w:spacing w:line="560" w:lineRule="exact"/>
        <w:ind w:firstLine="48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五、如乙方有违反食品卫生管理规定的行为，经政府执法部门查实处理的，学校视情节轻重，责令乙方整改直至停业整顿，情节严重的有权单方面解除租赁合同。</w:t>
      </w:r>
    </w:p>
    <w:p>
      <w:pPr>
        <w:spacing w:line="560" w:lineRule="exact"/>
        <w:ind w:firstLine="48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六、本责任书以《中华人民共和国食品安全法》、《餐饮业食品卫生管理办法》为执行细则，对违反其中任何条款所造成的事故或责任，由乙方承担全部责任。</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七、本责任书一式四份，甲方执三份，乙方执一份，自双方签订之日生效。</w:t>
      </w:r>
    </w:p>
    <w:p>
      <w:pPr>
        <w:spacing w:line="560" w:lineRule="exact"/>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甲方（公章）：衢州职业技术学院</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乙方（公章）：</w:t>
      </w:r>
    </w:p>
    <w:p>
      <w:pPr>
        <w:spacing w:line="560" w:lineRule="exact"/>
        <w:rPr>
          <w:rFonts w:ascii="仿宋_GB2312" w:hAnsi="Times New Roman" w:eastAsia="仿宋_GB2312" w:cs="Times New Roman"/>
          <w:color w:val="000000"/>
          <w:sz w:val="32"/>
          <w:szCs w:val="32"/>
        </w:rPr>
      </w:pPr>
    </w:p>
    <w:p>
      <w:pPr>
        <w:spacing w:line="560" w:lineRule="exact"/>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甲方代表：</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乙方代表：</w:t>
      </w:r>
    </w:p>
    <w:p>
      <w:pPr>
        <w:spacing w:line="560" w:lineRule="exact"/>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身份证号码：</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日</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21 -</w:t>
    </w:r>
    <w:r>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E73DA"/>
    <w:rsid w:val="28155E01"/>
    <w:rsid w:val="4BAE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2019-08-13T02:36:00Z</dcterms:created>
  <dc:creator>Lenovo</dc:creator>
  <cp:lastModifiedBy>Lenovo</cp:lastModifiedBy>
  <dcterms:modified xsi:type="dcterms:W3CDTF">2019-08-13T02:38:42Z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