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spacing w:line="550" w:lineRule="exact"/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50" w:lineRule="exact"/>
        <w:jc w:val="center"/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  <w:t>报价单</w:t>
      </w:r>
    </w:p>
    <w:p>
      <w:pPr>
        <w:numPr>
          <w:ilvl w:val="0"/>
          <w:numId w:val="0"/>
        </w:numPr>
        <w:spacing w:line="550" w:lineRule="exact"/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50" w:lineRule="exact"/>
        <w:ind w:firstLine="1200" w:firstLineChars="400"/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  <w:t>银行名称:  （盖章）                    日期：</w:t>
      </w:r>
    </w:p>
    <w:p>
      <w:pPr>
        <w:numPr>
          <w:ilvl w:val="0"/>
          <w:numId w:val="0"/>
        </w:numPr>
        <w:spacing w:line="550" w:lineRule="exact"/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spacing w:line="550" w:lineRule="exact"/>
        <w:ind w:firstLine="300" w:firstLineChars="100"/>
        <w:jc w:val="center"/>
        <w:rPr>
          <w:rFonts w:hint="default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10"/>
          <w:kern w:val="0"/>
          <w:sz w:val="28"/>
          <w:szCs w:val="28"/>
          <w:lang w:val="en-US" w:eastAsia="zh-CN"/>
        </w:rPr>
        <w:t xml:space="preserve">                                   单位：万元整</w:t>
      </w:r>
    </w:p>
    <w:tbl>
      <w:tblPr>
        <w:tblStyle w:val="3"/>
        <w:tblpPr w:leftFromText="180" w:rightFromText="180" w:vertAnchor="text" w:horzAnchor="page" w:tblpX="1830" w:tblpY="21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42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spacing w:val="1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spacing w:val="10"/>
                <w:kern w:val="0"/>
                <w:sz w:val="28"/>
                <w:szCs w:val="28"/>
                <w:vertAlign w:val="baseline"/>
                <w:lang w:val="en-US" w:eastAsia="zh-CN"/>
              </w:rPr>
              <w:t>每季度实现转贷业务量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spacing w:val="1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snapToGrid w:val="0"/>
        <w:spacing w:before="120" w:beforeLines="50" w:after="50"/>
        <w:ind w:firstLine="645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附件2                </w:t>
      </w:r>
    </w:p>
    <w:p>
      <w:pPr>
        <w:snapToGrid w:val="0"/>
        <w:spacing w:before="120" w:beforeLines="50" w:after="50"/>
        <w:ind w:firstLine="645"/>
        <w:jc w:val="center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授权委托书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800" w:lineRule="exact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致：衢州市工业企业还贷周转专项资金管理中心：</w:t>
      </w:r>
    </w:p>
    <w:p>
      <w:pPr>
        <w:spacing w:line="360" w:lineRule="auto"/>
        <w:ind w:left="315" w:leftChars="150"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left="315" w:leftChars="150"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（供应商全称）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法定代表人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（或分行行长）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800" w:lineRule="exact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授权 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（被授权人姓名）为合法的被授权人，参加贵单位组织的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>衢州市工业企业还贷周转专项资金管理中心转贷业务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eastAsia="zh-CN"/>
        </w:rPr>
        <w:t>合作机构询价采购项目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，在采购中的一切活动本公司均予承认。</w:t>
      </w:r>
    </w:p>
    <w:p>
      <w:pPr>
        <w:spacing w:line="360" w:lineRule="auto"/>
        <w:ind w:left="15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   </w:t>
      </w:r>
    </w:p>
    <w:p>
      <w:pPr>
        <w:spacing w:line="360" w:lineRule="auto"/>
        <w:ind w:left="15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                           法定代表人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（或分行行长）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（签字或盖章）：</w:t>
      </w:r>
    </w:p>
    <w:p>
      <w:pPr>
        <w:spacing w:line="360" w:lineRule="auto"/>
        <w:ind w:left="15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left="850" w:leftChars="405" w:right="560" w:firstLine="3600" w:firstLineChars="15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单位公章：</w:t>
      </w:r>
    </w:p>
    <w:p>
      <w:pPr>
        <w:spacing w:line="360" w:lineRule="auto"/>
        <w:ind w:left="15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            </w:t>
      </w:r>
    </w:p>
    <w:p>
      <w:pPr>
        <w:spacing w:line="360" w:lineRule="auto"/>
        <w:ind w:left="150" w:firstLine="168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                   201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ind w:left="15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left="315" w:leftChars="15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被授权人姓名：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</w:t>
      </w:r>
    </w:p>
    <w:p>
      <w:pPr>
        <w:spacing w:line="360" w:lineRule="auto"/>
        <w:ind w:left="315" w:leftChars="150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职务：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</w:t>
      </w:r>
    </w:p>
    <w:p>
      <w:pPr>
        <w:spacing w:line="360" w:lineRule="auto"/>
        <w:ind w:left="315" w:leftChars="150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详细通讯地址：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    </w:t>
      </w: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传真：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电话：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邮编：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</w:t>
      </w: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ind w:left="583" w:leftChars="150" w:hanging="268" w:hangingChars="112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</w:p>
    <w:p>
      <w:bookmarkStart w:id="0" w:name="_GoBack"/>
      <w:bookmarkEnd w:id="0"/>
    </w:p>
    <w:sectPr>
      <w:pgSz w:w="12240" w:h="15840"/>
      <w:pgMar w:top="720" w:right="144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26F26"/>
    <w:rsid w:val="04E024FE"/>
    <w:rsid w:val="150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2019-06-30T07:54:00Z</dcterms:created>
  <dc:creator>余剑锋</dc:creator>
  <cp:lastModifiedBy>余剑锋</cp:lastModifiedBy>
  <dcterms:modified xsi:type="dcterms:W3CDTF">2019-06-30T07:56:47Z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